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43F54" w14:textId="3F718F13" w:rsidR="00636BF3" w:rsidRPr="00A249E4" w:rsidRDefault="00636BF3" w:rsidP="00636BF3">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center"/>
        <w:rPr>
          <w:rFonts w:ascii="Times New Roman" w:hAnsi="Times New Roman"/>
          <w:b/>
          <w:bCs/>
          <w:spacing w:val="-3"/>
          <w:sz w:val="22"/>
          <w:szCs w:val="22"/>
        </w:rPr>
      </w:pPr>
      <w:r w:rsidRPr="00A249E4">
        <w:rPr>
          <w:rFonts w:ascii="Times New Roman" w:hAnsi="Times New Roman"/>
          <w:b/>
          <w:bCs/>
          <w:spacing w:val="-3"/>
          <w:sz w:val="22"/>
          <w:szCs w:val="22"/>
        </w:rPr>
        <w:t xml:space="preserve">Definition </w:t>
      </w:r>
      <w:r w:rsidR="00B44A40">
        <w:rPr>
          <w:rFonts w:ascii="Times New Roman" w:hAnsi="Times New Roman"/>
          <w:b/>
          <w:bCs/>
          <w:spacing w:val="-3"/>
          <w:sz w:val="22"/>
          <w:szCs w:val="22"/>
        </w:rPr>
        <w:t xml:space="preserve">and Purpose </w:t>
      </w:r>
      <w:r w:rsidRPr="00A249E4">
        <w:rPr>
          <w:rFonts w:ascii="Times New Roman" w:hAnsi="Times New Roman"/>
          <w:b/>
          <w:bCs/>
          <w:spacing w:val="-3"/>
          <w:sz w:val="22"/>
          <w:szCs w:val="22"/>
        </w:rPr>
        <w:t xml:space="preserve">of </w:t>
      </w:r>
      <w:r w:rsidR="00984692">
        <w:rPr>
          <w:rFonts w:ascii="Times New Roman" w:hAnsi="Times New Roman"/>
          <w:b/>
          <w:bCs/>
          <w:spacing w:val="-3"/>
          <w:sz w:val="22"/>
          <w:szCs w:val="22"/>
        </w:rPr>
        <w:t>the Interest Maintenance Reserve (</w:t>
      </w:r>
      <w:r w:rsidRPr="00A249E4">
        <w:rPr>
          <w:rFonts w:ascii="Times New Roman" w:hAnsi="Times New Roman"/>
          <w:b/>
          <w:bCs/>
          <w:spacing w:val="-3"/>
          <w:sz w:val="22"/>
          <w:szCs w:val="22"/>
        </w:rPr>
        <w:t>IMR</w:t>
      </w:r>
      <w:r w:rsidR="00984692">
        <w:rPr>
          <w:rFonts w:ascii="Times New Roman" w:hAnsi="Times New Roman"/>
          <w:b/>
          <w:bCs/>
          <w:spacing w:val="-3"/>
          <w:sz w:val="22"/>
          <w:szCs w:val="22"/>
        </w:rPr>
        <w:t>)</w:t>
      </w:r>
    </w:p>
    <w:p w14:paraId="442E9F60" w14:textId="77777777" w:rsidR="00636BF3" w:rsidRPr="00A249E4" w:rsidRDefault="00636BF3" w:rsidP="00636BF3">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b/>
          <w:bCs/>
          <w:spacing w:val="-3"/>
          <w:sz w:val="22"/>
          <w:szCs w:val="22"/>
          <w:highlight w:val="yellow"/>
        </w:rPr>
      </w:pPr>
    </w:p>
    <w:p w14:paraId="26033CDD" w14:textId="6AE9ED86" w:rsidR="00636BF3" w:rsidRPr="00A249E4" w:rsidRDefault="00984692" w:rsidP="00636BF3">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Pr>
          <w:rFonts w:ascii="Times New Roman" w:hAnsi="Times New Roman"/>
          <w:spacing w:val="-3"/>
          <w:sz w:val="22"/>
          <w:szCs w:val="22"/>
        </w:rPr>
        <w:t>The intent of this document is to offer a theoretical definition and purpose of IMR within the context of the U.S. Statutory Framework so that specific IMR-related issues can be addressed in future sessions of the Ad Hoc Technical Working Group from a mutually agreed upon foundation. In summary, the conceptual development of IMR recognized the need for a valuation adjustment to ensure consistent treatment of assets and liabilities and an accurate presentation of solvency amid fluctuations in interest rates.</w:t>
      </w:r>
      <w:r w:rsidR="00B24ECF">
        <w:rPr>
          <w:rFonts w:ascii="Times New Roman" w:hAnsi="Times New Roman"/>
          <w:spacing w:val="-3"/>
          <w:sz w:val="22"/>
          <w:szCs w:val="22"/>
        </w:rPr>
        <w:t xml:space="preserve"> </w:t>
      </w:r>
      <w:r w:rsidR="001634D1" w:rsidRPr="00A249E4">
        <w:rPr>
          <w:rFonts w:ascii="Times New Roman" w:hAnsi="Times New Roman"/>
          <w:spacing w:val="-3"/>
          <w:sz w:val="22"/>
          <w:szCs w:val="22"/>
        </w:rPr>
        <w:t xml:space="preserve">Illustrative examples further illuminate the necessity of </w:t>
      </w:r>
      <w:r w:rsidR="00A0037B" w:rsidRPr="00A249E4">
        <w:rPr>
          <w:rFonts w:ascii="Times New Roman" w:hAnsi="Times New Roman"/>
          <w:spacing w:val="-3"/>
          <w:sz w:val="22"/>
          <w:szCs w:val="22"/>
        </w:rPr>
        <w:t>an</w:t>
      </w:r>
      <w:r w:rsidR="001634D1" w:rsidRPr="00A249E4">
        <w:rPr>
          <w:rFonts w:ascii="Times New Roman" w:hAnsi="Times New Roman"/>
          <w:spacing w:val="-3"/>
          <w:sz w:val="22"/>
          <w:szCs w:val="22"/>
        </w:rPr>
        <w:t xml:space="preserve"> IMR</w:t>
      </w:r>
      <w:r w:rsidR="008B507B" w:rsidRPr="00A249E4">
        <w:rPr>
          <w:rFonts w:ascii="Times New Roman" w:hAnsi="Times New Roman"/>
          <w:spacing w:val="-3"/>
          <w:sz w:val="22"/>
          <w:szCs w:val="22"/>
        </w:rPr>
        <w:t xml:space="preserve"> </w:t>
      </w:r>
      <w:r w:rsidR="00BF79EB" w:rsidRPr="00A249E4">
        <w:rPr>
          <w:rFonts w:ascii="Times New Roman" w:hAnsi="Times New Roman"/>
          <w:spacing w:val="-3"/>
          <w:sz w:val="22"/>
          <w:szCs w:val="22"/>
        </w:rPr>
        <w:t>for</w:t>
      </w:r>
      <w:r w:rsidR="008B507B" w:rsidRPr="00A249E4">
        <w:rPr>
          <w:rFonts w:ascii="Times New Roman" w:hAnsi="Times New Roman"/>
          <w:spacing w:val="-3"/>
          <w:sz w:val="22"/>
          <w:szCs w:val="22"/>
        </w:rPr>
        <w:t xml:space="preserve"> both positive and negative balances within the context of such a framework. </w:t>
      </w:r>
      <w:r w:rsidR="00636BF3" w:rsidRPr="00A249E4">
        <w:rPr>
          <w:rFonts w:ascii="Times New Roman" w:hAnsi="Times New Roman"/>
          <w:spacing w:val="-3"/>
          <w:sz w:val="22"/>
          <w:szCs w:val="22"/>
        </w:rPr>
        <w:t xml:space="preserve">After </w:t>
      </w:r>
      <w:r w:rsidR="0052431B" w:rsidRPr="00A249E4">
        <w:rPr>
          <w:rFonts w:ascii="Times New Roman" w:hAnsi="Times New Roman"/>
          <w:spacing w:val="-3"/>
          <w:sz w:val="22"/>
          <w:szCs w:val="22"/>
        </w:rPr>
        <w:t>such a</w:t>
      </w:r>
      <w:r w:rsidR="00636BF3" w:rsidRPr="00A249E4">
        <w:rPr>
          <w:rFonts w:ascii="Times New Roman" w:hAnsi="Times New Roman"/>
          <w:spacing w:val="-3"/>
          <w:sz w:val="22"/>
          <w:szCs w:val="22"/>
        </w:rPr>
        <w:t xml:space="preserve"> conceptual grounding, </w:t>
      </w:r>
      <w:r w:rsidR="0052431B" w:rsidRPr="00A249E4">
        <w:rPr>
          <w:rFonts w:ascii="Times New Roman" w:hAnsi="Times New Roman"/>
          <w:spacing w:val="-3"/>
          <w:sz w:val="22"/>
          <w:szCs w:val="22"/>
        </w:rPr>
        <w:t xml:space="preserve">IMR </w:t>
      </w:r>
      <w:r w:rsidR="00AF6B9F">
        <w:rPr>
          <w:rFonts w:ascii="Times New Roman" w:hAnsi="Times New Roman"/>
          <w:spacing w:val="-3"/>
          <w:sz w:val="22"/>
          <w:szCs w:val="22"/>
        </w:rPr>
        <w:t>is</w:t>
      </w:r>
      <w:r w:rsidR="00591CCF" w:rsidRPr="00A249E4">
        <w:rPr>
          <w:rFonts w:ascii="Times New Roman" w:hAnsi="Times New Roman"/>
          <w:spacing w:val="-3"/>
          <w:sz w:val="22"/>
          <w:szCs w:val="22"/>
        </w:rPr>
        <w:t xml:space="preserve"> then considered </w:t>
      </w:r>
      <w:r w:rsidR="0052431B" w:rsidRPr="00A249E4">
        <w:rPr>
          <w:rFonts w:ascii="Times New Roman" w:hAnsi="Times New Roman"/>
          <w:spacing w:val="-3"/>
          <w:sz w:val="22"/>
          <w:szCs w:val="22"/>
        </w:rPr>
        <w:t xml:space="preserve">in </w:t>
      </w:r>
      <w:r w:rsidR="00182A54" w:rsidRPr="00A249E4">
        <w:rPr>
          <w:rFonts w:ascii="Times New Roman" w:hAnsi="Times New Roman"/>
          <w:spacing w:val="-3"/>
          <w:sz w:val="22"/>
          <w:szCs w:val="22"/>
        </w:rPr>
        <w:t xml:space="preserve">tandem with the more recent </w:t>
      </w:r>
      <w:r w:rsidR="003879F6" w:rsidRPr="00A249E4">
        <w:rPr>
          <w:rFonts w:ascii="Times New Roman" w:hAnsi="Times New Roman"/>
          <w:spacing w:val="-3"/>
          <w:sz w:val="22"/>
          <w:szCs w:val="22"/>
        </w:rPr>
        <w:t>development of Principles-based Reserves (PBR)</w:t>
      </w:r>
      <w:r w:rsidR="00991F87" w:rsidRPr="00A249E4">
        <w:rPr>
          <w:rFonts w:ascii="Times New Roman" w:hAnsi="Times New Roman"/>
          <w:spacing w:val="-3"/>
          <w:sz w:val="22"/>
          <w:szCs w:val="22"/>
        </w:rPr>
        <w:t xml:space="preserve"> </w:t>
      </w:r>
      <w:r w:rsidR="00B44A40">
        <w:rPr>
          <w:rFonts w:ascii="Times New Roman" w:hAnsi="Times New Roman"/>
          <w:spacing w:val="-3"/>
          <w:sz w:val="22"/>
          <w:szCs w:val="22"/>
        </w:rPr>
        <w:t xml:space="preserve">in Appendix </w:t>
      </w:r>
      <w:r w:rsidR="00A459F4">
        <w:rPr>
          <w:rFonts w:ascii="Times New Roman" w:hAnsi="Times New Roman"/>
          <w:spacing w:val="-3"/>
          <w:sz w:val="22"/>
          <w:szCs w:val="22"/>
        </w:rPr>
        <w:t>1</w:t>
      </w:r>
      <w:r w:rsidR="00B44A40">
        <w:rPr>
          <w:rFonts w:ascii="Times New Roman" w:hAnsi="Times New Roman"/>
          <w:spacing w:val="-3"/>
          <w:sz w:val="22"/>
          <w:szCs w:val="22"/>
        </w:rPr>
        <w:t xml:space="preserve"> with</w:t>
      </w:r>
      <w:r w:rsidR="00062CF1">
        <w:rPr>
          <w:rFonts w:ascii="Times New Roman" w:hAnsi="Times New Roman"/>
          <w:spacing w:val="-3"/>
          <w:sz w:val="22"/>
          <w:szCs w:val="22"/>
        </w:rPr>
        <w:t xml:space="preserve"> Asset Adequacy Testing (AAT) in </w:t>
      </w:r>
      <w:r w:rsidR="00E3258F">
        <w:rPr>
          <w:rFonts w:ascii="Times New Roman" w:hAnsi="Times New Roman"/>
          <w:spacing w:val="-3"/>
          <w:sz w:val="22"/>
          <w:szCs w:val="22"/>
        </w:rPr>
        <w:t>A</w:t>
      </w:r>
      <w:r w:rsidR="00062CF1">
        <w:rPr>
          <w:rFonts w:ascii="Times New Roman" w:hAnsi="Times New Roman"/>
          <w:spacing w:val="-3"/>
          <w:sz w:val="22"/>
          <w:szCs w:val="22"/>
        </w:rPr>
        <w:t>ppendi</w:t>
      </w:r>
      <w:r w:rsidR="00E3258F">
        <w:rPr>
          <w:rFonts w:ascii="Times New Roman" w:hAnsi="Times New Roman"/>
          <w:spacing w:val="-3"/>
          <w:sz w:val="22"/>
          <w:szCs w:val="22"/>
        </w:rPr>
        <w:t xml:space="preserve">x </w:t>
      </w:r>
      <w:r w:rsidR="00B44A40">
        <w:rPr>
          <w:rFonts w:ascii="Times New Roman" w:hAnsi="Times New Roman"/>
          <w:spacing w:val="-3"/>
          <w:sz w:val="22"/>
          <w:szCs w:val="22"/>
        </w:rPr>
        <w:t>2</w:t>
      </w:r>
      <w:r w:rsidR="00E3258F">
        <w:rPr>
          <w:rFonts w:ascii="Times New Roman" w:hAnsi="Times New Roman"/>
          <w:spacing w:val="-3"/>
          <w:sz w:val="22"/>
          <w:szCs w:val="22"/>
        </w:rPr>
        <w:t xml:space="preserve"> and</w:t>
      </w:r>
      <w:r w:rsidR="00B44A40">
        <w:rPr>
          <w:rFonts w:ascii="Times New Roman" w:hAnsi="Times New Roman"/>
          <w:spacing w:val="-3"/>
          <w:sz w:val="22"/>
          <w:szCs w:val="22"/>
        </w:rPr>
        <w:t xml:space="preserve"> with Derivatives in Appendix 3</w:t>
      </w:r>
      <w:r w:rsidR="00062CF1">
        <w:rPr>
          <w:rFonts w:ascii="Times New Roman" w:hAnsi="Times New Roman"/>
          <w:spacing w:val="-3"/>
          <w:sz w:val="22"/>
          <w:szCs w:val="22"/>
        </w:rPr>
        <w:t xml:space="preserve"> </w:t>
      </w:r>
      <w:r w:rsidR="00991F87" w:rsidRPr="00A249E4">
        <w:rPr>
          <w:rFonts w:ascii="Times New Roman" w:hAnsi="Times New Roman"/>
          <w:spacing w:val="-3"/>
          <w:sz w:val="22"/>
          <w:szCs w:val="22"/>
        </w:rPr>
        <w:t>ensur</w:t>
      </w:r>
      <w:r w:rsidR="00AF6B9F">
        <w:rPr>
          <w:rFonts w:ascii="Times New Roman" w:hAnsi="Times New Roman"/>
          <w:spacing w:val="-3"/>
          <w:sz w:val="22"/>
          <w:szCs w:val="22"/>
        </w:rPr>
        <w:t>ing</w:t>
      </w:r>
      <w:r w:rsidR="00991F87" w:rsidRPr="00A249E4">
        <w:rPr>
          <w:rFonts w:ascii="Times New Roman" w:hAnsi="Times New Roman"/>
          <w:spacing w:val="-3"/>
          <w:sz w:val="22"/>
          <w:szCs w:val="22"/>
        </w:rPr>
        <w:t xml:space="preserve"> no inconsistencies need to be separately addressed</w:t>
      </w:r>
      <w:r w:rsidR="0052431B" w:rsidRPr="00A249E4">
        <w:rPr>
          <w:rFonts w:ascii="Times New Roman" w:hAnsi="Times New Roman"/>
          <w:spacing w:val="-3"/>
          <w:sz w:val="22"/>
          <w:szCs w:val="22"/>
        </w:rPr>
        <w:t>.</w:t>
      </w:r>
    </w:p>
    <w:p w14:paraId="1CCED5D0" w14:textId="77777777" w:rsidR="00B44A40" w:rsidRPr="00A249E4" w:rsidRDefault="00B44A40" w:rsidP="00636BF3">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4A11472F" w14:textId="40E3A256" w:rsidR="00636BF3" w:rsidRPr="00A249E4" w:rsidRDefault="00A04E17" w:rsidP="00636BF3">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b/>
          <w:bCs/>
          <w:spacing w:val="-3"/>
          <w:sz w:val="22"/>
          <w:szCs w:val="22"/>
        </w:rPr>
      </w:pPr>
      <w:r w:rsidRPr="00A249E4">
        <w:rPr>
          <w:rFonts w:ascii="Times New Roman" w:hAnsi="Times New Roman"/>
          <w:b/>
          <w:bCs/>
          <w:spacing w:val="-3"/>
          <w:sz w:val="22"/>
          <w:szCs w:val="22"/>
        </w:rPr>
        <w:t xml:space="preserve">The </w:t>
      </w:r>
      <w:r w:rsidR="00636BF3" w:rsidRPr="00A249E4">
        <w:rPr>
          <w:rFonts w:ascii="Times New Roman" w:hAnsi="Times New Roman"/>
          <w:b/>
          <w:bCs/>
          <w:spacing w:val="-3"/>
          <w:sz w:val="22"/>
          <w:szCs w:val="22"/>
        </w:rPr>
        <w:t xml:space="preserve">Objective of </w:t>
      </w:r>
      <w:r w:rsidR="00503226" w:rsidRPr="00A249E4">
        <w:rPr>
          <w:rFonts w:ascii="Times New Roman" w:hAnsi="Times New Roman"/>
          <w:b/>
          <w:bCs/>
          <w:spacing w:val="-3"/>
          <w:sz w:val="22"/>
          <w:szCs w:val="22"/>
        </w:rPr>
        <w:t xml:space="preserve">the </w:t>
      </w:r>
      <w:r w:rsidR="00636BF3" w:rsidRPr="00A249E4">
        <w:rPr>
          <w:rFonts w:ascii="Times New Roman" w:hAnsi="Times New Roman"/>
          <w:b/>
          <w:bCs/>
          <w:spacing w:val="-3"/>
          <w:sz w:val="22"/>
          <w:szCs w:val="22"/>
        </w:rPr>
        <w:t xml:space="preserve">Statutory </w:t>
      </w:r>
      <w:r w:rsidR="00503226" w:rsidRPr="00A249E4">
        <w:rPr>
          <w:rFonts w:ascii="Times New Roman" w:hAnsi="Times New Roman"/>
          <w:b/>
          <w:bCs/>
          <w:spacing w:val="-3"/>
          <w:sz w:val="22"/>
          <w:szCs w:val="22"/>
        </w:rPr>
        <w:t xml:space="preserve">Framework </w:t>
      </w:r>
      <w:r w:rsidR="00127A13" w:rsidRPr="00A249E4">
        <w:rPr>
          <w:rFonts w:ascii="Times New Roman" w:hAnsi="Times New Roman"/>
          <w:b/>
          <w:bCs/>
          <w:spacing w:val="-3"/>
          <w:sz w:val="22"/>
          <w:szCs w:val="22"/>
        </w:rPr>
        <w:t xml:space="preserve">and </w:t>
      </w:r>
      <w:r w:rsidR="008E5D3C" w:rsidRPr="00A249E4">
        <w:rPr>
          <w:rFonts w:ascii="Times New Roman" w:hAnsi="Times New Roman"/>
          <w:b/>
          <w:bCs/>
          <w:spacing w:val="-3"/>
          <w:sz w:val="22"/>
          <w:szCs w:val="22"/>
        </w:rPr>
        <w:t>the</w:t>
      </w:r>
      <w:r w:rsidR="00127A13" w:rsidRPr="00A249E4">
        <w:rPr>
          <w:rFonts w:ascii="Times New Roman" w:hAnsi="Times New Roman"/>
          <w:b/>
          <w:bCs/>
          <w:spacing w:val="-3"/>
          <w:sz w:val="22"/>
          <w:szCs w:val="22"/>
        </w:rPr>
        <w:t xml:space="preserve"> </w:t>
      </w:r>
      <w:r w:rsidR="00503226" w:rsidRPr="00A249E4">
        <w:rPr>
          <w:rFonts w:ascii="Times New Roman" w:hAnsi="Times New Roman"/>
          <w:b/>
          <w:bCs/>
          <w:spacing w:val="-3"/>
          <w:sz w:val="22"/>
          <w:szCs w:val="22"/>
        </w:rPr>
        <w:t>Necessit</w:t>
      </w:r>
      <w:r w:rsidR="008E5D3C" w:rsidRPr="00A249E4">
        <w:rPr>
          <w:rFonts w:ascii="Times New Roman" w:hAnsi="Times New Roman"/>
          <w:b/>
          <w:bCs/>
          <w:spacing w:val="-3"/>
          <w:sz w:val="22"/>
          <w:szCs w:val="22"/>
        </w:rPr>
        <w:t>y of</w:t>
      </w:r>
      <w:r w:rsidR="00503226" w:rsidRPr="00A249E4">
        <w:rPr>
          <w:rFonts w:ascii="Times New Roman" w:hAnsi="Times New Roman"/>
          <w:b/>
          <w:bCs/>
          <w:spacing w:val="-3"/>
          <w:sz w:val="22"/>
          <w:szCs w:val="22"/>
        </w:rPr>
        <w:t xml:space="preserve"> </w:t>
      </w:r>
      <w:r w:rsidR="00127A13" w:rsidRPr="00A249E4">
        <w:rPr>
          <w:rFonts w:ascii="Times New Roman" w:hAnsi="Times New Roman"/>
          <w:b/>
          <w:bCs/>
          <w:spacing w:val="-3"/>
          <w:sz w:val="22"/>
          <w:szCs w:val="22"/>
        </w:rPr>
        <w:t xml:space="preserve">IMR </w:t>
      </w:r>
    </w:p>
    <w:p w14:paraId="4CCF9848" w14:textId="6492BE36" w:rsidR="00636BF3" w:rsidRPr="00A249E4" w:rsidRDefault="00636BF3" w:rsidP="00636BF3">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0A3D03B6" w14:textId="19594D60" w:rsidR="00E453F7" w:rsidRPr="00A249E4" w:rsidRDefault="00E453F7"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color w:val="000000" w:themeColor="text1"/>
          <w:spacing w:val="-3"/>
          <w:sz w:val="22"/>
          <w:szCs w:val="22"/>
        </w:rPr>
      </w:pPr>
      <w:r w:rsidRPr="00A249E4">
        <w:rPr>
          <w:rFonts w:ascii="Times New Roman" w:hAnsi="Times New Roman"/>
          <w:color w:val="000000" w:themeColor="text1"/>
          <w:spacing w:val="-3"/>
          <w:sz w:val="22"/>
          <w:szCs w:val="22"/>
        </w:rPr>
        <w:t xml:space="preserve">The most important and fundamental purpose of the Statutory Statements is to provide basic financial information focusing on solvency. </w:t>
      </w:r>
      <w:r w:rsidR="00503226" w:rsidRPr="00A249E4">
        <w:rPr>
          <w:rFonts w:ascii="Times New Roman" w:hAnsi="Times New Roman"/>
          <w:color w:val="000000" w:themeColor="text1"/>
          <w:spacing w:val="-3"/>
          <w:sz w:val="22"/>
          <w:szCs w:val="22"/>
        </w:rPr>
        <w:t xml:space="preserve">It </w:t>
      </w:r>
      <w:r w:rsidR="008A13B5" w:rsidRPr="00A249E4">
        <w:rPr>
          <w:rFonts w:ascii="Times New Roman" w:hAnsi="Times New Roman"/>
          <w:color w:val="000000" w:themeColor="text1"/>
          <w:spacing w:val="-3"/>
          <w:sz w:val="22"/>
          <w:szCs w:val="22"/>
        </w:rPr>
        <w:t xml:space="preserve">must </w:t>
      </w:r>
      <w:r w:rsidR="00503226" w:rsidRPr="00A249E4">
        <w:rPr>
          <w:rFonts w:ascii="Times New Roman" w:hAnsi="Times New Roman"/>
          <w:color w:val="000000" w:themeColor="text1"/>
          <w:spacing w:val="-3"/>
          <w:sz w:val="22"/>
          <w:szCs w:val="22"/>
        </w:rPr>
        <w:t xml:space="preserve">provide regulators (and management) the tools to </w:t>
      </w:r>
      <w:r w:rsidR="008A13B5" w:rsidRPr="00A249E4">
        <w:rPr>
          <w:rFonts w:ascii="Times New Roman" w:hAnsi="Times New Roman"/>
          <w:color w:val="000000" w:themeColor="text1"/>
          <w:spacing w:val="-3"/>
          <w:sz w:val="22"/>
          <w:szCs w:val="22"/>
        </w:rPr>
        <w:t xml:space="preserve">monitor and </w:t>
      </w:r>
      <w:r w:rsidR="00503226" w:rsidRPr="00A249E4">
        <w:rPr>
          <w:rFonts w:ascii="Times New Roman" w:hAnsi="Times New Roman"/>
          <w:color w:val="000000" w:themeColor="text1"/>
          <w:spacing w:val="-3"/>
          <w:sz w:val="22"/>
          <w:szCs w:val="22"/>
        </w:rPr>
        <w:t xml:space="preserve">ensure policy and contract holder obligations </w:t>
      </w:r>
      <w:r w:rsidR="008A13B5" w:rsidRPr="00A249E4">
        <w:rPr>
          <w:rFonts w:ascii="Times New Roman" w:hAnsi="Times New Roman"/>
          <w:color w:val="000000" w:themeColor="text1"/>
          <w:spacing w:val="-3"/>
          <w:sz w:val="22"/>
          <w:szCs w:val="22"/>
        </w:rPr>
        <w:t xml:space="preserve">can be </w:t>
      </w:r>
      <w:r w:rsidR="00503226" w:rsidRPr="00A249E4">
        <w:rPr>
          <w:rFonts w:ascii="Times New Roman" w:hAnsi="Times New Roman"/>
          <w:color w:val="000000" w:themeColor="text1"/>
          <w:spacing w:val="-3"/>
          <w:sz w:val="22"/>
          <w:szCs w:val="22"/>
        </w:rPr>
        <w:t>met when they come due.</w:t>
      </w:r>
      <w:r w:rsidR="00B24ECF">
        <w:rPr>
          <w:rFonts w:ascii="Times New Roman" w:hAnsi="Times New Roman"/>
          <w:color w:val="000000" w:themeColor="text1"/>
          <w:spacing w:val="-3"/>
          <w:sz w:val="22"/>
          <w:szCs w:val="22"/>
        </w:rPr>
        <w:t xml:space="preserve"> </w:t>
      </w:r>
      <w:r w:rsidR="00F97231" w:rsidRPr="00A249E4">
        <w:rPr>
          <w:rFonts w:ascii="Times New Roman" w:hAnsi="Times New Roman"/>
          <w:color w:val="000000" w:themeColor="text1"/>
          <w:spacing w:val="-3"/>
          <w:sz w:val="22"/>
          <w:szCs w:val="22"/>
        </w:rPr>
        <w:t>To that end, “the valuation of assets and liabilities proceeds on the assumption that the insurer is a going concern” and “valuation is not done on a liquidation basis.”</w:t>
      </w:r>
      <w:r w:rsidR="00F97231" w:rsidRPr="00A249E4">
        <w:rPr>
          <w:rStyle w:val="FootnoteReference"/>
          <w:rFonts w:ascii="Times New Roman" w:hAnsi="Times New Roman"/>
          <w:color w:val="000000" w:themeColor="text1"/>
          <w:spacing w:val="-3"/>
          <w:sz w:val="22"/>
          <w:szCs w:val="22"/>
        </w:rPr>
        <w:footnoteReference w:id="1"/>
      </w:r>
    </w:p>
    <w:p w14:paraId="3A5B81C7" w14:textId="77777777" w:rsidR="00E453F7" w:rsidRPr="00A249E4" w:rsidRDefault="00E453F7"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highlight w:val="yellow"/>
        </w:rPr>
      </w:pPr>
    </w:p>
    <w:p w14:paraId="771C98DE" w14:textId="18B06636" w:rsidR="00CA0502" w:rsidRPr="00A249E4" w:rsidRDefault="00CA0502"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u w:val="single"/>
        </w:rPr>
        <w:t>Liability Valuation</w:t>
      </w:r>
    </w:p>
    <w:p w14:paraId="0ED06655" w14:textId="77777777" w:rsidR="00CA0502" w:rsidRPr="00A249E4" w:rsidRDefault="00CA0502"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039FFEE2" w14:textId="25D86260" w:rsidR="004C0037" w:rsidRPr="00A249E4" w:rsidRDefault="008A13B5"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In keeping with the focus on solvency and conservatism, the prudent valuation of long duration </w:t>
      </w:r>
      <w:r w:rsidR="00F205C0" w:rsidRPr="00A249E4">
        <w:rPr>
          <w:rFonts w:ascii="Times New Roman" w:hAnsi="Times New Roman"/>
          <w:spacing w:val="-3"/>
          <w:sz w:val="22"/>
          <w:szCs w:val="22"/>
        </w:rPr>
        <w:t xml:space="preserve">insurance </w:t>
      </w:r>
      <w:r w:rsidRPr="00A249E4">
        <w:rPr>
          <w:rFonts w:ascii="Times New Roman" w:hAnsi="Times New Roman"/>
          <w:spacing w:val="-3"/>
          <w:sz w:val="22"/>
          <w:szCs w:val="22"/>
        </w:rPr>
        <w:t>liabilities need</w:t>
      </w:r>
      <w:r w:rsidR="00BF79EB" w:rsidRPr="00A249E4">
        <w:rPr>
          <w:rFonts w:ascii="Times New Roman" w:hAnsi="Times New Roman"/>
          <w:spacing w:val="-3"/>
          <w:sz w:val="22"/>
          <w:szCs w:val="22"/>
        </w:rPr>
        <w:t>s</w:t>
      </w:r>
      <w:r w:rsidRPr="00A249E4">
        <w:rPr>
          <w:rFonts w:ascii="Times New Roman" w:hAnsi="Times New Roman"/>
          <w:spacing w:val="-3"/>
          <w:sz w:val="22"/>
          <w:szCs w:val="22"/>
        </w:rPr>
        <w:t xml:space="preserve"> to be determined.</w:t>
      </w:r>
      <w:r w:rsidR="00B24ECF">
        <w:rPr>
          <w:rFonts w:ascii="Times New Roman" w:hAnsi="Times New Roman"/>
          <w:spacing w:val="-3"/>
          <w:sz w:val="22"/>
          <w:szCs w:val="22"/>
        </w:rPr>
        <w:t xml:space="preserve"> </w:t>
      </w:r>
      <w:r w:rsidR="00BF79EB" w:rsidRPr="00A249E4">
        <w:rPr>
          <w:rFonts w:ascii="Times New Roman" w:hAnsi="Times New Roman"/>
          <w:spacing w:val="-3"/>
          <w:sz w:val="22"/>
          <w:szCs w:val="22"/>
        </w:rPr>
        <w:t>Because</w:t>
      </w:r>
      <w:r w:rsidRPr="00A249E4">
        <w:rPr>
          <w:rFonts w:ascii="Times New Roman" w:hAnsi="Times New Roman"/>
          <w:spacing w:val="-3"/>
          <w:sz w:val="22"/>
          <w:szCs w:val="22"/>
        </w:rPr>
        <w:t xml:space="preserve"> </w:t>
      </w:r>
      <w:r w:rsidR="00F1612C">
        <w:rPr>
          <w:rFonts w:ascii="Times New Roman" w:hAnsi="Times New Roman"/>
          <w:spacing w:val="-3"/>
          <w:sz w:val="22"/>
          <w:szCs w:val="22"/>
        </w:rPr>
        <w:t xml:space="preserve">insurance liabilities </w:t>
      </w:r>
      <w:r w:rsidR="00E1358E">
        <w:rPr>
          <w:rFonts w:ascii="Times New Roman" w:hAnsi="Times New Roman"/>
          <w:spacing w:val="-3"/>
          <w:sz w:val="22"/>
          <w:szCs w:val="22"/>
        </w:rPr>
        <w:t xml:space="preserve">generally </w:t>
      </w:r>
      <w:r w:rsidR="00F1612C">
        <w:rPr>
          <w:rFonts w:ascii="Times New Roman" w:hAnsi="Times New Roman"/>
          <w:spacing w:val="-3"/>
          <w:sz w:val="22"/>
          <w:szCs w:val="22"/>
        </w:rPr>
        <w:t>do not have</w:t>
      </w:r>
      <w:r w:rsidRPr="00A249E4">
        <w:rPr>
          <w:rFonts w:ascii="Times New Roman" w:hAnsi="Times New Roman"/>
          <w:spacing w:val="-3"/>
          <w:sz w:val="22"/>
          <w:szCs w:val="22"/>
        </w:rPr>
        <w:t xml:space="preserve"> a deep and wide market</w:t>
      </w:r>
      <w:r w:rsidR="00BF79EB" w:rsidRPr="00A249E4">
        <w:rPr>
          <w:rFonts w:ascii="Times New Roman" w:hAnsi="Times New Roman"/>
          <w:spacing w:val="-3"/>
          <w:sz w:val="22"/>
          <w:szCs w:val="22"/>
        </w:rPr>
        <w:t>,</w:t>
      </w:r>
      <w:r w:rsidR="00014317">
        <w:rPr>
          <w:rFonts w:ascii="Times New Roman" w:hAnsi="Times New Roman"/>
          <w:spacing w:val="-3"/>
          <w:sz w:val="22"/>
          <w:szCs w:val="22"/>
        </w:rPr>
        <w:t xml:space="preserve"> </w:t>
      </w:r>
      <w:r w:rsidR="00627E17">
        <w:rPr>
          <w:rFonts w:ascii="Times New Roman" w:hAnsi="Times New Roman"/>
          <w:spacing w:val="-3"/>
          <w:sz w:val="22"/>
          <w:szCs w:val="22"/>
        </w:rPr>
        <w:t>their valuation is dependent on assumptions, calculations, and</w:t>
      </w:r>
      <w:r w:rsidR="00236247">
        <w:rPr>
          <w:rFonts w:ascii="Times New Roman" w:hAnsi="Times New Roman"/>
          <w:spacing w:val="-3"/>
          <w:sz w:val="22"/>
          <w:szCs w:val="22"/>
        </w:rPr>
        <w:t>/or</w:t>
      </w:r>
      <w:r w:rsidR="00627E17">
        <w:rPr>
          <w:rFonts w:ascii="Times New Roman" w:hAnsi="Times New Roman"/>
          <w:spacing w:val="-3"/>
          <w:sz w:val="22"/>
          <w:szCs w:val="22"/>
        </w:rPr>
        <w:t xml:space="preserve"> models. A</w:t>
      </w:r>
      <w:r w:rsidRPr="00A249E4">
        <w:rPr>
          <w:rFonts w:ascii="Times New Roman" w:hAnsi="Times New Roman"/>
          <w:spacing w:val="-3"/>
          <w:sz w:val="22"/>
          <w:szCs w:val="22"/>
        </w:rPr>
        <w:t xml:space="preserve"> market-consistent approach</w:t>
      </w:r>
      <w:r w:rsidR="00627E17">
        <w:rPr>
          <w:rFonts w:ascii="Times New Roman" w:hAnsi="Times New Roman"/>
          <w:spacing w:val="-3"/>
          <w:sz w:val="22"/>
          <w:szCs w:val="22"/>
        </w:rPr>
        <w:t xml:space="preserve"> to liability valuation</w:t>
      </w:r>
      <w:r w:rsidRPr="00A249E4">
        <w:rPr>
          <w:rFonts w:ascii="Times New Roman" w:hAnsi="Times New Roman"/>
          <w:spacing w:val="-3"/>
          <w:sz w:val="22"/>
          <w:szCs w:val="22"/>
        </w:rPr>
        <w:t xml:space="preserve"> can be challenging to develop</w:t>
      </w:r>
      <w:r w:rsidR="006D56E8">
        <w:rPr>
          <w:rFonts w:ascii="Times New Roman" w:hAnsi="Times New Roman"/>
          <w:spacing w:val="-3"/>
          <w:sz w:val="22"/>
          <w:szCs w:val="22"/>
        </w:rPr>
        <w:t>,</w:t>
      </w:r>
      <w:r w:rsidR="006D56E8" w:rsidRPr="006D56E8">
        <w:rPr>
          <w:rFonts w:ascii="Times New Roman" w:hAnsi="Times New Roman"/>
          <w:spacing w:val="-3"/>
          <w:sz w:val="22"/>
          <w:szCs w:val="22"/>
        </w:rPr>
        <w:t xml:space="preserve"> </w:t>
      </w:r>
      <w:r w:rsidR="006D56E8" w:rsidRPr="00A249E4">
        <w:rPr>
          <w:rFonts w:ascii="Times New Roman" w:hAnsi="Times New Roman"/>
          <w:spacing w:val="-3"/>
          <w:sz w:val="22"/>
          <w:szCs w:val="22"/>
        </w:rPr>
        <w:t>is highly sensitive to the assumptions used</w:t>
      </w:r>
      <w:r w:rsidR="006D56E8">
        <w:rPr>
          <w:rFonts w:ascii="Times New Roman" w:hAnsi="Times New Roman"/>
          <w:spacing w:val="-3"/>
          <w:sz w:val="22"/>
          <w:szCs w:val="22"/>
        </w:rPr>
        <w:t>,</w:t>
      </w:r>
      <w:r w:rsidR="00CB195B">
        <w:rPr>
          <w:rFonts w:ascii="Times New Roman" w:hAnsi="Times New Roman"/>
          <w:spacing w:val="-3"/>
          <w:sz w:val="22"/>
          <w:szCs w:val="22"/>
        </w:rPr>
        <w:t xml:space="preserve"> and can</w:t>
      </w:r>
      <w:r w:rsidR="006A70F4" w:rsidRPr="00A249E4">
        <w:rPr>
          <w:rFonts w:ascii="Times New Roman" w:hAnsi="Times New Roman"/>
          <w:sz w:val="22"/>
          <w:szCs w:val="22"/>
        </w:rPr>
        <w:t xml:space="preserve"> over rely upon or misapply</w:t>
      </w:r>
      <w:r w:rsidR="00BF79EB" w:rsidRPr="00A249E4">
        <w:rPr>
          <w:rFonts w:ascii="Times New Roman" w:hAnsi="Times New Roman"/>
          <w:sz w:val="22"/>
          <w:szCs w:val="22"/>
        </w:rPr>
        <w:t xml:space="preserve"> current market conditions</w:t>
      </w:r>
      <w:r w:rsidR="00A177F8">
        <w:rPr>
          <w:rFonts w:ascii="Times New Roman" w:hAnsi="Times New Roman"/>
          <w:sz w:val="22"/>
          <w:szCs w:val="22"/>
        </w:rPr>
        <w:t xml:space="preserve">. These challenges </w:t>
      </w:r>
      <w:r w:rsidR="006A70F4" w:rsidRPr="00A249E4">
        <w:rPr>
          <w:rFonts w:ascii="Times New Roman" w:hAnsi="Times New Roman"/>
          <w:sz w:val="22"/>
          <w:szCs w:val="22"/>
        </w:rPr>
        <w:t>can</w:t>
      </w:r>
      <w:r w:rsidR="00BF79EB" w:rsidRPr="00A249E4">
        <w:rPr>
          <w:rFonts w:ascii="Times New Roman" w:hAnsi="Times New Roman"/>
          <w:sz w:val="22"/>
          <w:szCs w:val="22"/>
        </w:rPr>
        <w:t xml:space="preserve"> distort financial </w:t>
      </w:r>
      <w:r w:rsidR="006A70F4" w:rsidRPr="00A249E4">
        <w:rPr>
          <w:rFonts w:ascii="Times New Roman" w:hAnsi="Times New Roman"/>
          <w:sz w:val="22"/>
          <w:szCs w:val="22"/>
        </w:rPr>
        <w:t xml:space="preserve">solvency </w:t>
      </w:r>
      <w:r w:rsidR="006F248F">
        <w:rPr>
          <w:rFonts w:ascii="Times New Roman" w:hAnsi="Times New Roman"/>
          <w:sz w:val="22"/>
          <w:szCs w:val="22"/>
        </w:rPr>
        <w:t>and</w:t>
      </w:r>
      <w:r w:rsidR="006A70F4" w:rsidRPr="00A249E4">
        <w:rPr>
          <w:rFonts w:ascii="Times New Roman" w:hAnsi="Times New Roman"/>
          <w:sz w:val="22"/>
          <w:szCs w:val="22"/>
        </w:rPr>
        <w:t xml:space="preserve"> </w:t>
      </w:r>
      <w:r w:rsidR="0060601C">
        <w:rPr>
          <w:rFonts w:ascii="Times New Roman" w:hAnsi="Times New Roman"/>
          <w:sz w:val="22"/>
          <w:szCs w:val="22"/>
        </w:rPr>
        <w:t>inhibit companies from issuing</w:t>
      </w:r>
      <w:r w:rsidR="006A70F4" w:rsidRPr="00A249E4">
        <w:rPr>
          <w:rFonts w:ascii="Times New Roman" w:hAnsi="Times New Roman"/>
          <w:sz w:val="22"/>
          <w:szCs w:val="22"/>
        </w:rPr>
        <w:t xml:space="preserve"> </w:t>
      </w:r>
      <w:r w:rsidR="00BF79EB" w:rsidRPr="00A249E4">
        <w:rPr>
          <w:rFonts w:ascii="Times New Roman" w:hAnsi="Times New Roman"/>
          <w:sz w:val="22"/>
          <w:szCs w:val="22"/>
        </w:rPr>
        <w:t>long</w:t>
      </w:r>
      <w:r w:rsidR="0060601C">
        <w:rPr>
          <w:rFonts w:ascii="Times New Roman" w:hAnsi="Times New Roman"/>
          <w:sz w:val="22"/>
          <w:szCs w:val="22"/>
        </w:rPr>
        <w:t xml:space="preserve"> duration</w:t>
      </w:r>
      <w:r w:rsidR="00BF79EB" w:rsidRPr="00A249E4">
        <w:rPr>
          <w:rFonts w:ascii="Times New Roman" w:hAnsi="Times New Roman"/>
          <w:sz w:val="22"/>
          <w:szCs w:val="22"/>
        </w:rPr>
        <w:t xml:space="preserve"> </w:t>
      </w:r>
      <w:r w:rsidR="0060601C">
        <w:rPr>
          <w:rFonts w:ascii="Times New Roman" w:hAnsi="Times New Roman"/>
          <w:sz w:val="22"/>
          <w:szCs w:val="22"/>
        </w:rPr>
        <w:t xml:space="preserve">insurance </w:t>
      </w:r>
      <w:r w:rsidR="00BF79EB" w:rsidRPr="00A249E4">
        <w:rPr>
          <w:rFonts w:ascii="Times New Roman" w:hAnsi="Times New Roman"/>
          <w:sz w:val="22"/>
          <w:szCs w:val="22"/>
        </w:rPr>
        <w:t>product</w:t>
      </w:r>
      <w:r w:rsidR="0060601C">
        <w:rPr>
          <w:rFonts w:ascii="Times New Roman" w:hAnsi="Times New Roman"/>
          <w:sz w:val="22"/>
          <w:szCs w:val="22"/>
        </w:rPr>
        <w:t>s</w:t>
      </w:r>
      <w:r w:rsidR="00BF79EB" w:rsidRPr="00A249E4">
        <w:rPr>
          <w:rFonts w:ascii="Times New Roman" w:hAnsi="Times New Roman"/>
          <w:sz w:val="22"/>
          <w:szCs w:val="22"/>
        </w:rPr>
        <w:t>.</w:t>
      </w:r>
      <w:r w:rsidR="006A70F4" w:rsidRPr="00A249E4">
        <w:rPr>
          <w:rFonts w:ascii="Times New Roman" w:hAnsi="Times New Roman"/>
          <w:spacing w:val="-3"/>
          <w:sz w:val="22"/>
          <w:szCs w:val="22"/>
        </w:rPr>
        <w:t xml:space="preserve"> A market-consistent approach has not been adopted in the U.S. Statutory framework.</w:t>
      </w:r>
    </w:p>
    <w:p w14:paraId="3A3FA048" w14:textId="77777777" w:rsidR="004C0037" w:rsidRPr="00A249E4" w:rsidRDefault="004C0037"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58C5B4C9" w14:textId="5FBE3964" w:rsidR="008A13B5" w:rsidRPr="00A249E4" w:rsidRDefault="00F205C0"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The Statutory framework’s amortized cost valuation approach utilizes conservative methodologies and assumptions.</w:t>
      </w:r>
      <w:r w:rsidR="00B24ECF">
        <w:rPr>
          <w:rFonts w:ascii="Times New Roman" w:hAnsi="Times New Roman"/>
          <w:spacing w:val="-3"/>
          <w:sz w:val="22"/>
          <w:szCs w:val="22"/>
        </w:rPr>
        <w:t xml:space="preserve"> </w:t>
      </w:r>
      <w:r w:rsidR="008A13B5" w:rsidRPr="00A249E4">
        <w:rPr>
          <w:rFonts w:ascii="Times New Roman" w:hAnsi="Times New Roman"/>
          <w:spacing w:val="-3"/>
          <w:sz w:val="22"/>
          <w:szCs w:val="22"/>
        </w:rPr>
        <w:t>In many cases</w:t>
      </w:r>
      <w:r w:rsidRPr="00A249E4">
        <w:rPr>
          <w:rFonts w:ascii="Times New Roman" w:hAnsi="Times New Roman"/>
          <w:spacing w:val="-3"/>
          <w:sz w:val="22"/>
          <w:szCs w:val="22"/>
        </w:rPr>
        <w:t>, these conservative methodologies and assumptions</w:t>
      </w:r>
      <w:r w:rsidR="008A13B5" w:rsidRPr="00A249E4">
        <w:rPr>
          <w:rFonts w:ascii="Times New Roman" w:hAnsi="Times New Roman"/>
          <w:spacing w:val="-3"/>
          <w:sz w:val="22"/>
          <w:szCs w:val="22"/>
        </w:rPr>
        <w:t xml:space="preserve"> are determined at origin</w:t>
      </w:r>
      <w:r w:rsidR="00116F2B" w:rsidRPr="00A249E4">
        <w:rPr>
          <w:rFonts w:ascii="Times New Roman" w:hAnsi="Times New Roman"/>
          <w:spacing w:val="-3"/>
          <w:sz w:val="22"/>
          <w:szCs w:val="22"/>
        </w:rPr>
        <w:t xml:space="preserve"> </w:t>
      </w:r>
      <w:r w:rsidR="0043017F" w:rsidRPr="00A249E4">
        <w:rPr>
          <w:rFonts w:ascii="Times New Roman" w:hAnsi="Times New Roman"/>
          <w:spacing w:val="-3"/>
          <w:sz w:val="22"/>
          <w:szCs w:val="22"/>
        </w:rPr>
        <w:t xml:space="preserve">and </w:t>
      </w:r>
      <w:r w:rsidR="00B44A40">
        <w:rPr>
          <w:rFonts w:ascii="Times New Roman" w:hAnsi="Times New Roman"/>
          <w:spacing w:val="-3"/>
          <w:sz w:val="22"/>
          <w:szCs w:val="22"/>
        </w:rPr>
        <w:t>may not be changed</w:t>
      </w:r>
      <w:r w:rsidR="008A13B5" w:rsidRPr="00A249E4">
        <w:rPr>
          <w:rFonts w:ascii="Times New Roman" w:hAnsi="Times New Roman"/>
          <w:spacing w:val="-3"/>
          <w:sz w:val="22"/>
          <w:szCs w:val="22"/>
        </w:rPr>
        <w:t xml:space="preserve"> over the entire course of the liability.</w:t>
      </w:r>
      <w:r w:rsidR="00B24ECF">
        <w:rPr>
          <w:rFonts w:ascii="Times New Roman" w:hAnsi="Times New Roman"/>
          <w:spacing w:val="-3"/>
          <w:sz w:val="22"/>
          <w:szCs w:val="22"/>
        </w:rPr>
        <w:t xml:space="preserve"> </w:t>
      </w:r>
      <w:r w:rsidR="008A13B5" w:rsidRPr="00A249E4">
        <w:rPr>
          <w:rFonts w:ascii="Times New Roman" w:hAnsi="Times New Roman"/>
          <w:spacing w:val="-3"/>
          <w:sz w:val="22"/>
          <w:szCs w:val="22"/>
        </w:rPr>
        <w:t xml:space="preserve">As the U.S. Statutory </w:t>
      </w:r>
      <w:r w:rsidRPr="00A249E4">
        <w:rPr>
          <w:rFonts w:ascii="Times New Roman" w:hAnsi="Times New Roman"/>
          <w:spacing w:val="-3"/>
          <w:sz w:val="22"/>
          <w:szCs w:val="22"/>
        </w:rPr>
        <w:t>framework</w:t>
      </w:r>
      <w:r w:rsidR="008A13B5" w:rsidRPr="00A249E4">
        <w:rPr>
          <w:rFonts w:ascii="Times New Roman" w:hAnsi="Times New Roman"/>
          <w:spacing w:val="-3"/>
          <w:sz w:val="22"/>
          <w:szCs w:val="22"/>
        </w:rPr>
        <w:t xml:space="preserve"> has evolved</w:t>
      </w:r>
      <w:r w:rsidR="00D51137" w:rsidRPr="00A249E4">
        <w:rPr>
          <w:rFonts w:ascii="Times New Roman" w:hAnsi="Times New Roman"/>
          <w:spacing w:val="-3"/>
          <w:sz w:val="22"/>
          <w:szCs w:val="22"/>
        </w:rPr>
        <w:t>,</w:t>
      </w:r>
      <w:r w:rsidR="008A13B5" w:rsidRPr="00A249E4">
        <w:rPr>
          <w:rFonts w:ascii="Times New Roman" w:hAnsi="Times New Roman"/>
          <w:spacing w:val="-3"/>
          <w:sz w:val="22"/>
          <w:szCs w:val="22"/>
        </w:rPr>
        <w:t xml:space="preserve"> additional/new </w:t>
      </w:r>
      <w:r w:rsidRPr="00A249E4">
        <w:rPr>
          <w:rFonts w:ascii="Times New Roman" w:hAnsi="Times New Roman"/>
          <w:spacing w:val="-3"/>
          <w:sz w:val="22"/>
          <w:szCs w:val="22"/>
        </w:rPr>
        <w:t>valuation approaches</w:t>
      </w:r>
      <w:r w:rsidR="008A13B5" w:rsidRPr="00A249E4">
        <w:rPr>
          <w:rFonts w:ascii="Times New Roman" w:hAnsi="Times New Roman"/>
          <w:spacing w:val="-3"/>
          <w:sz w:val="22"/>
          <w:szCs w:val="22"/>
        </w:rPr>
        <w:t xml:space="preserve"> have been introduced (e.g., </w:t>
      </w:r>
      <w:r w:rsidR="00A57896" w:rsidRPr="00A249E4">
        <w:rPr>
          <w:rFonts w:ascii="Times New Roman" w:hAnsi="Times New Roman"/>
          <w:spacing w:val="-3"/>
          <w:sz w:val="22"/>
          <w:szCs w:val="22"/>
        </w:rPr>
        <w:t>PBR</w:t>
      </w:r>
      <w:r w:rsidR="008A13B5" w:rsidRPr="00A249E4">
        <w:rPr>
          <w:rFonts w:ascii="Times New Roman" w:hAnsi="Times New Roman"/>
          <w:spacing w:val="-3"/>
          <w:sz w:val="22"/>
          <w:szCs w:val="22"/>
        </w:rPr>
        <w:t>)</w:t>
      </w:r>
      <w:r w:rsidR="007B76B8" w:rsidRPr="00A249E4">
        <w:rPr>
          <w:rFonts w:ascii="Times New Roman" w:hAnsi="Times New Roman"/>
          <w:spacing w:val="-3"/>
          <w:sz w:val="22"/>
          <w:szCs w:val="22"/>
        </w:rPr>
        <w:t xml:space="preserve">. Regardless of the specific </w:t>
      </w:r>
      <w:r w:rsidRPr="00A249E4">
        <w:rPr>
          <w:rFonts w:ascii="Times New Roman" w:hAnsi="Times New Roman"/>
          <w:spacing w:val="-3"/>
          <w:sz w:val="22"/>
          <w:szCs w:val="22"/>
        </w:rPr>
        <w:t>approach</w:t>
      </w:r>
      <w:r w:rsidR="001D23B7" w:rsidRPr="00A249E4">
        <w:rPr>
          <w:rFonts w:ascii="Times New Roman" w:hAnsi="Times New Roman"/>
          <w:spacing w:val="-3"/>
          <w:sz w:val="22"/>
          <w:szCs w:val="22"/>
        </w:rPr>
        <w:t>,</w:t>
      </w:r>
      <w:r w:rsidR="007B76B8" w:rsidRPr="00A249E4">
        <w:rPr>
          <w:rFonts w:ascii="Times New Roman" w:hAnsi="Times New Roman"/>
          <w:spacing w:val="-3"/>
          <w:sz w:val="22"/>
          <w:szCs w:val="22"/>
        </w:rPr>
        <w:t xml:space="preserve"> the</w:t>
      </w:r>
      <w:r w:rsidR="00E857DF" w:rsidRPr="00A249E4">
        <w:rPr>
          <w:rFonts w:ascii="Times New Roman" w:hAnsi="Times New Roman"/>
          <w:spacing w:val="-3"/>
          <w:sz w:val="22"/>
          <w:szCs w:val="22"/>
        </w:rPr>
        <w:t xml:space="preserve"> U.S. Statutory</w:t>
      </w:r>
      <w:r w:rsidR="007B76B8" w:rsidRPr="00A249E4">
        <w:rPr>
          <w:rFonts w:ascii="Times New Roman" w:hAnsi="Times New Roman"/>
          <w:spacing w:val="-3"/>
          <w:sz w:val="22"/>
          <w:szCs w:val="22"/>
        </w:rPr>
        <w:t xml:space="preserve"> </w:t>
      </w:r>
      <w:r w:rsidRPr="00A249E4">
        <w:rPr>
          <w:rFonts w:ascii="Times New Roman" w:hAnsi="Times New Roman"/>
          <w:spacing w:val="-3"/>
          <w:sz w:val="22"/>
          <w:szCs w:val="22"/>
        </w:rPr>
        <w:t>framework</w:t>
      </w:r>
      <w:r w:rsidR="001D23B7" w:rsidRPr="00A249E4">
        <w:rPr>
          <w:rFonts w:ascii="Times New Roman" w:hAnsi="Times New Roman"/>
          <w:spacing w:val="-3"/>
          <w:sz w:val="22"/>
          <w:szCs w:val="22"/>
        </w:rPr>
        <w:t xml:space="preserve"> </w:t>
      </w:r>
      <w:r w:rsidR="006F55CF" w:rsidRPr="00A249E4">
        <w:rPr>
          <w:rFonts w:ascii="Times New Roman" w:hAnsi="Times New Roman"/>
          <w:spacing w:val="-3"/>
          <w:sz w:val="22"/>
          <w:szCs w:val="22"/>
        </w:rPr>
        <w:t xml:space="preserve">has remained </w:t>
      </w:r>
      <w:r w:rsidR="001D23B7" w:rsidRPr="00A249E4">
        <w:rPr>
          <w:rFonts w:ascii="Times New Roman" w:hAnsi="Times New Roman"/>
          <w:spacing w:val="-3"/>
          <w:sz w:val="22"/>
          <w:szCs w:val="22"/>
        </w:rPr>
        <w:t xml:space="preserve">focused </w:t>
      </w:r>
      <w:r w:rsidR="006F55CF" w:rsidRPr="00A249E4">
        <w:rPr>
          <w:rFonts w:ascii="Times New Roman" w:hAnsi="Times New Roman"/>
          <w:spacing w:val="-3"/>
          <w:sz w:val="22"/>
          <w:szCs w:val="22"/>
        </w:rPr>
        <w:t>on</w:t>
      </w:r>
      <w:r w:rsidR="008A13B5" w:rsidRPr="00A249E4">
        <w:rPr>
          <w:rFonts w:ascii="Times New Roman" w:hAnsi="Times New Roman"/>
          <w:spacing w:val="-3"/>
          <w:sz w:val="22"/>
          <w:szCs w:val="22"/>
        </w:rPr>
        <w:t xml:space="preserve"> ensur</w:t>
      </w:r>
      <w:r w:rsidR="006F55CF" w:rsidRPr="00A249E4">
        <w:rPr>
          <w:rFonts w:ascii="Times New Roman" w:hAnsi="Times New Roman"/>
          <w:spacing w:val="-3"/>
          <w:sz w:val="22"/>
          <w:szCs w:val="22"/>
        </w:rPr>
        <w:t>ing</w:t>
      </w:r>
      <w:r w:rsidR="008A13B5" w:rsidRPr="00A249E4">
        <w:rPr>
          <w:rFonts w:ascii="Times New Roman" w:hAnsi="Times New Roman"/>
          <w:spacing w:val="-3"/>
          <w:sz w:val="22"/>
          <w:szCs w:val="22"/>
        </w:rPr>
        <w:t xml:space="preserve"> the company’s long-term solvency</w:t>
      </w:r>
      <w:r w:rsidR="00051049" w:rsidRPr="00A249E4">
        <w:rPr>
          <w:rFonts w:ascii="Times New Roman" w:hAnsi="Times New Roman"/>
          <w:spacing w:val="-3"/>
          <w:sz w:val="22"/>
          <w:szCs w:val="22"/>
        </w:rPr>
        <w:t xml:space="preserve"> in a stable, durable, and </w:t>
      </w:r>
      <w:r w:rsidR="008A13B5" w:rsidRPr="00A249E4">
        <w:rPr>
          <w:rFonts w:ascii="Times New Roman" w:hAnsi="Times New Roman"/>
          <w:spacing w:val="-3"/>
          <w:sz w:val="22"/>
          <w:szCs w:val="22"/>
        </w:rPr>
        <w:t>conservati</w:t>
      </w:r>
      <w:r w:rsidR="00414BE8" w:rsidRPr="00A249E4">
        <w:rPr>
          <w:rFonts w:ascii="Times New Roman" w:hAnsi="Times New Roman"/>
          <w:spacing w:val="-3"/>
          <w:sz w:val="22"/>
          <w:szCs w:val="22"/>
        </w:rPr>
        <w:t>ve man</w:t>
      </w:r>
      <w:r w:rsidR="004C0037" w:rsidRPr="00A249E4">
        <w:rPr>
          <w:rFonts w:ascii="Times New Roman" w:hAnsi="Times New Roman"/>
          <w:spacing w:val="-3"/>
          <w:sz w:val="22"/>
          <w:szCs w:val="22"/>
        </w:rPr>
        <w:t>n</w:t>
      </w:r>
      <w:r w:rsidR="00414BE8" w:rsidRPr="00A249E4">
        <w:rPr>
          <w:rFonts w:ascii="Times New Roman" w:hAnsi="Times New Roman"/>
          <w:spacing w:val="-3"/>
          <w:sz w:val="22"/>
          <w:szCs w:val="22"/>
        </w:rPr>
        <w:t>er</w:t>
      </w:r>
      <w:r w:rsidR="008A13B5" w:rsidRPr="00A249E4">
        <w:rPr>
          <w:rFonts w:ascii="Times New Roman" w:hAnsi="Times New Roman"/>
          <w:spacing w:val="-3"/>
          <w:sz w:val="22"/>
          <w:szCs w:val="22"/>
        </w:rPr>
        <w:t>.</w:t>
      </w:r>
      <w:r w:rsidR="00857EC7" w:rsidRPr="00A249E4">
        <w:rPr>
          <w:rFonts w:ascii="Times New Roman" w:hAnsi="Times New Roman"/>
          <w:spacing w:val="-3"/>
          <w:sz w:val="22"/>
          <w:szCs w:val="22"/>
        </w:rPr>
        <w:t xml:space="preserve"> </w:t>
      </w:r>
    </w:p>
    <w:p w14:paraId="38BA96E9" w14:textId="77777777" w:rsidR="008A13B5" w:rsidRPr="00A249E4" w:rsidRDefault="008A13B5"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6077EB18" w14:textId="1CB37253" w:rsidR="00CA0502" w:rsidRPr="00A249E4" w:rsidRDefault="00CA0502"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u w:val="single"/>
        </w:rPr>
        <w:t>Asset Valuation</w:t>
      </w:r>
    </w:p>
    <w:p w14:paraId="7563FCFC" w14:textId="77777777" w:rsidR="00CA0502" w:rsidRPr="00A249E4" w:rsidRDefault="00CA0502"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2A99E8DE" w14:textId="0BC03844" w:rsidR="00991F87" w:rsidRPr="00A249E4" w:rsidRDefault="00E453F7"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sidDel="00503226">
        <w:rPr>
          <w:rFonts w:ascii="Times New Roman" w:hAnsi="Times New Roman"/>
          <w:spacing w:val="-3"/>
          <w:sz w:val="22"/>
          <w:szCs w:val="22"/>
        </w:rPr>
        <w:t xml:space="preserve">To </w:t>
      </w:r>
      <w:r w:rsidR="003E4E21" w:rsidRPr="00A249E4">
        <w:rPr>
          <w:rFonts w:ascii="Times New Roman" w:hAnsi="Times New Roman"/>
          <w:spacing w:val="-3"/>
          <w:sz w:val="22"/>
          <w:szCs w:val="22"/>
        </w:rPr>
        <w:t xml:space="preserve">support their insurance liabilities and </w:t>
      </w:r>
      <w:r w:rsidR="00220C63" w:rsidRPr="00A249E4">
        <w:rPr>
          <w:rFonts w:ascii="Times New Roman" w:hAnsi="Times New Roman"/>
          <w:spacing w:val="-3"/>
          <w:sz w:val="22"/>
          <w:szCs w:val="22"/>
        </w:rPr>
        <w:t>e</w:t>
      </w:r>
      <w:r w:rsidRPr="00A249E4">
        <w:rPr>
          <w:rFonts w:ascii="Times New Roman" w:hAnsi="Times New Roman"/>
          <w:spacing w:val="-3"/>
          <w:sz w:val="22"/>
          <w:szCs w:val="22"/>
        </w:rPr>
        <w:t xml:space="preserve">nsure </w:t>
      </w:r>
      <w:r w:rsidRPr="00A249E4" w:rsidDel="00503226">
        <w:rPr>
          <w:rFonts w:ascii="Times New Roman" w:hAnsi="Times New Roman"/>
          <w:spacing w:val="-3"/>
          <w:sz w:val="22"/>
          <w:szCs w:val="22"/>
        </w:rPr>
        <w:t>solvency</w:t>
      </w:r>
      <w:r w:rsidR="008A13B5" w:rsidRPr="00A249E4">
        <w:rPr>
          <w:rFonts w:ascii="Times New Roman" w:hAnsi="Times New Roman"/>
          <w:spacing w:val="-3"/>
          <w:sz w:val="22"/>
          <w:szCs w:val="22"/>
        </w:rPr>
        <w:t>, companies need to invest</w:t>
      </w:r>
      <w:r w:rsidRPr="00A249E4" w:rsidDel="00503226">
        <w:rPr>
          <w:rFonts w:ascii="Times New Roman" w:hAnsi="Times New Roman"/>
          <w:spacing w:val="-3"/>
          <w:sz w:val="22"/>
          <w:szCs w:val="22"/>
        </w:rPr>
        <w:t xml:space="preserve"> </w:t>
      </w:r>
      <w:r w:rsidR="008A13B5" w:rsidRPr="00A249E4">
        <w:rPr>
          <w:rFonts w:ascii="Times New Roman" w:hAnsi="Times New Roman"/>
          <w:spacing w:val="-3"/>
          <w:sz w:val="22"/>
          <w:szCs w:val="22"/>
        </w:rPr>
        <w:t xml:space="preserve">their </w:t>
      </w:r>
      <w:r w:rsidRPr="00A249E4" w:rsidDel="00503226">
        <w:rPr>
          <w:rFonts w:ascii="Times New Roman" w:hAnsi="Times New Roman"/>
          <w:spacing w:val="-3"/>
          <w:sz w:val="22"/>
          <w:szCs w:val="22"/>
        </w:rPr>
        <w:t xml:space="preserve">assets </w:t>
      </w:r>
      <w:r w:rsidR="008A13B5" w:rsidRPr="00A249E4">
        <w:rPr>
          <w:rFonts w:ascii="Times New Roman" w:hAnsi="Times New Roman"/>
          <w:spacing w:val="-3"/>
          <w:sz w:val="22"/>
          <w:szCs w:val="22"/>
        </w:rPr>
        <w:t>such</w:t>
      </w:r>
      <w:r w:rsidRPr="00A249E4" w:rsidDel="00503226">
        <w:rPr>
          <w:rFonts w:ascii="Times New Roman" w:hAnsi="Times New Roman"/>
          <w:spacing w:val="-3"/>
          <w:sz w:val="22"/>
          <w:szCs w:val="22"/>
        </w:rPr>
        <w:t xml:space="preserve"> that </w:t>
      </w:r>
      <w:r w:rsidR="00A04E17" w:rsidRPr="00A249E4">
        <w:rPr>
          <w:rFonts w:ascii="Times New Roman" w:hAnsi="Times New Roman"/>
          <w:spacing w:val="-3"/>
          <w:sz w:val="22"/>
          <w:szCs w:val="22"/>
        </w:rPr>
        <w:t>they have</w:t>
      </w:r>
      <w:r w:rsidRPr="00A249E4" w:rsidDel="00503226">
        <w:rPr>
          <w:rFonts w:ascii="Times New Roman" w:hAnsi="Times New Roman"/>
          <w:spacing w:val="-3"/>
          <w:sz w:val="22"/>
          <w:szCs w:val="22"/>
        </w:rPr>
        <w:t xml:space="preserve"> a very high probability of paying contractual liabilities when they become due.</w:t>
      </w:r>
      <w:r w:rsidR="00AE29BF" w:rsidRPr="00A249E4">
        <w:rPr>
          <w:rFonts w:ascii="Times New Roman" w:hAnsi="Times New Roman"/>
          <w:spacing w:val="-3"/>
          <w:sz w:val="22"/>
          <w:szCs w:val="22"/>
        </w:rPr>
        <w:t xml:space="preserve"> For long-duration </w:t>
      </w:r>
      <w:r w:rsidR="00F205C0" w:rsidRPr="00A249E4">
        <w:rPr>
          <w:rFonts w:ascii="Times New Roman" w:hAnsi="Times New Roman"/>
          <w:spacing w:val="-3"/>
          <w:sz w:val="22"/>
          <w:szCs w:val="22"/>
        </w:rPr>
        <w:t>liabilities</w:t>
      </w:r>
      <w:r w:rsidR="00AE29BF" w:rsidRPr="00A249E4">
        <w:rPr>
          <w:rFonts w:ascii="Times New Roman" w:hAnsi="Times New Roman"/>
          <w:spacing w:val="-3"/>
          <w:sz w:val="22"/>
          <w:szCs w:val="22"/>
        </w:rPr>
        <w:t xml:space="preserve">, these </w:t>
      </w:r>
      <w:r w:rsidR="00804C31" w:rsidRPr="00A249E4">
        <w:rPr>
          <w:rFonts w:ascii="Times New Roman" w:hAnsi="Times New Roman"/>
          <w:spacing w:val="-3"/>
          <w:sz w:val="22"/>
          <w:szCs w:val="22"/>
        </w:rPr>
        <w:t>investments are predominantly in conservative fixed income assets.</w:t>
      </w:r>
      <w:r w:rsidR="00B24ECF">
        <w:rPr>
          <w:rFonts w:ascii="Times New Roman" w:hAnsi="Times New Roman"/>
          <w:spacing w:val="-3"/>
          <w:sz w:val="22"/>
          <w:szCs w:val="22"/>
        </w:rPr>
        <w:t xml:space="preserve"> </w:t>
      </w:r>
      <w:r w:rsidR="00220C63" w:rsidRPr="00A249E4" w:rsidDel="00503226">
        <w:rPr>
          <w:rFonts w:ascii="Times New Roman" w:hAnsi="Times New Roman"/>
          <w:spacing w:val="-3"/>
          <w:sz w:val="22"/>
          <w:szCs w:val="22"/>
        </w:rPr>
        <w:t>To</w:t>
      </w:r>
      <w:r w:rsidR="00636BF3" w:rsidRPr="00A249E4" w:rsidDel="00503226">
        <w:rPr>
          <w:rFonts w:ascii="Times New Roman" w:hAnsi="Times New Roman"/>
          <w:spacing w:val="-3"/>
          <w:sz w:val="22"/>
          <w:szCs w:val="22"/>
        </w:rPr>
        <w:t xml:space="preserve"> </w:t>
      </w:r>
      <w:r w:rsidR="00220C63" w:rsidRPr="00A249E4" w:rsidDel="00503226">
        <w:rPr>
          <w:rFonts w:ascii="Times New Roman" w:hAnsi="Times New Roman"/>
          <w:spacing w:val="-3"/>
          <w:sz w:val="22"/>
          <w:szCs w:val="22"/>
        </w:rPr>
        <w:t xml:space="preserve">accurately </w:t>
      </w:r>
      <w:r w:rsidR="00636BF3" w:rsidRPr="00A249E4" w:rsidDel="00503226">
        <w:rPr>
          <w:rFonts w:ascii="Times New Roman" w:hAnsi="Times New Roman"/>
          <w:spacing w:val="-3"/>
          <w:sz w:val="22"/>
          <w:szCs w:val="22"/>
        </w:rPr>
        <w:t xml:space="preserve">assess whether a company </w:t>
      </w:r>
      <w:r w:rsidR="00220C63" w:rsidRPr="00A249E4" w:rsidDel="00503226">
        <w:rPr>
          <w:rFonts w:ascii="Times New Roman" w:hAnsi="Times New Roman"/>
          <w:spacing w:val="-3"/>
          <w:sz w:val="22"/>
          <w:szCs w:val="22"/>
        </w:rPr>
        <w:t>can</w:t>
      </w:r>
      <w:r w:rsidR="00636BF3" w:rsidRPr="00A249E4" w:rsidDel="00503226">
        <w:rPr>
          <w:rFonts w:ascii="Times New Roman" w:hAnsi="Times New Roman"/>
          <w:spacing w:val="-3"/>
          <w:sz w:val="22"/>
          <w:szCs w:val="22"/>
        </w:rPr>
        <w:t xml:space="preserve"> fulfill its obligations, its liabilities and assets </w:t>
      </w:r>
      <w:r w:rsidR="00A228B5" w:rsidRPr="00A249E4">
        <w:rPr>
          <w:rFonts w:ascii="Times New Roman" w:hAnsi="Times New Roman"/>
          <w:spacing w:val="-3"/>
          <w:sz w:val="22"/>
          <w:szCs w:val="22"/>
        </w:rPr>
        <w:t xml:space="preserve">must be presented </w:t>
      </w:r>
      <w:r w:rsidR="00636BF3" w:rsidRPr="00A249E4" w:rsidDel="00503226">
        <w:rPr>
          <w:rFonts w:ascii="Times New Roman" w:hAnsi="Times New Roman"/>
          <w:spacing w:val="-3"/>
          <w:sz w:val="22"/>
          <w:szCs w:val="22"/>
        </w:rPr>
        <w:t xml:space="preserve">on a financially integrated </w:t>
      </w:r>
      <w:r w:rsidR="00991F87" w:rsidRPr="00A249E4" w:rsidDel="00503226">
        <w:rPr>
          <w:rFonts w:ascii="Times New Roman" w:hAnsi="Times New Roman"/>
          <w:spacing w:val="-3"/>
          <w:sz w:val="22"/>
          <w:szCs w:val="22"/>
        </w:rPr>
        <w:t xml:space="preserve">and consistent </w:t>
      </w:r>
      <w:r w:rsidR="00636BF3" w:rsidRPr="00A249E4" w:rsidDel="00503226">
        <w:rPr>
          <w:rFonts w:ascii="Times New Roman" w:hAnsi="Times New Roman"/>
          <w:spacing w:val="-3"/>
          <w:sz w:val="22"/>
          <w:szCs w:val="22"/>
        </w:rPr>
        <w:t>basis.</w:t>
      </w:r>
      <w:r w:rsidR="00B24ECF">
        <w:rPr>
          <w:rFonts w:ascii="Times New Roman" w:hAnsi="Times New Roman"/>
          <w:spacing w:val="-3"/>
          <w:sz w:val="22"/>
          <w:szCs w:val="22"/>
        </w:rPr>
        <w:t xml:space="preserve"> </w:t>
      </w:r>
    </w:p>
    <w:p w14:paraId="79CD909F" w14:textId="56B12EC7" w:rsidR="00991F87" w:rsidRPr="00A249E4" w:rsidRDefault="00991F87" w:rsidP="00E453F7">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60EE49D6" w14:textId="28B8D84B" w:rsidR="000E095B" w:rsidRPr="00A249E4" w:rsidRDefault="0013254E" w:rsidP="00B40779">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In the Statutory framework, a</w:t>
      </w:r>
      <w:r w:rsidR="00B40779" w:rsidRPr="00A249E4">
        <w:rPr>
          <w:rFonts w:ascii="Times New Roman" w:hAnsi="Times New Roman"/>
          <w:spacing w:val="-3"/>
          <w:sz w:val="22"/>
          <w:szCs w:val="22"/>
        </w:rPr>
        <w:t xml:space="preserve">sset valuations for fixed </w:t>
      </w:r>
      <w:r w:rsidR="008A13B5" w:rsidRPr="00A249E4">
        <w:rPr>
          <w:rFonts w:ascii="Times New Roman" w:hAnsi="Times New Roman"/>
          <w:spacing w:val="-3"/>
          <w:sz w:val="22"/>
          <w:szCs w:val="22"/>
        </w:rPr>
        <w:t xml:space="preserve">income </w:t>
      </w:r>
      <w:r w:rsidR="00B40779" w:rsidRPr="00A249E4">
        <w:rPr>
          <w:rFonts w:ascii="Times New Roman" w:hAnsi="Times New Roman"/>
          <w:spacing w:val="-3"/>
          <w:sz w:val="22"/>
          <w:szCs w:val="22"/>
        </w:rPr>
        <w:t xml:space="preserve">securities </w:t>
      </w:r>
      <w:r w:rsidR="000E095B" w:rsidRPr="00A249E4">
        <w:rPr>
          <w:rFonts w:ascii="Times New Roman" w:hAnsi="Times New Roman"/>
          <w:spacing w:val="-3"/>
          <w:sz w:val="22"/>
          <w:szCs w:val="22"/>
        </w:rPr>
        <w:t>are primarily based on amortized cost accounting principles.</w:t>
      </w:r>
      <w:r w:rsidR="00B24ECF">
        <w:rPr>
          <w:rFonts w:ascii="Times New Roman" w:hAnsi="Times New Roman"/>
          <w:spacing w:val="-3"/>
          <w:sz w:val="22"/>
          <w:szCs w:val="22"/>
        </w:rPr>
        <w:t xml:space="preserve"> </w:t>
      </w:r>
      <w:r w:rsidR="000E095B" w:rsidRPr="00A249E4">
        <w:rPr>
          <w:rFonts w:ascii="Times New Roman" w:hAnsi="Times New Roman"/>
          <w:spacing w:val="-3"/>
          <w:sz w:val="22"/>
          <w:szCs w:val="22"/>
        </w:rPr>
        <w:t>Here the valuations</w:t>
      </w:r>
      <w:r w:rsidR="00B40779" w:rsidRPr="00A249E4">
        <w:rPr>
          <w:rFonts w:ascii="Times New Roman" w:hAnsi="Times New Roman"/>
          <w:spacing w:val="-3"/>
          <w:sz w:val="22"/>
          <w:szCs w:val="22"/>
        </w:rPr>
        <w:t xml:space="preserve"> reflect the </w:t>
      </w:r>
      <w:r w:rsidR="002A6E34" w:rsidRPr="00A249E4">
        <w:rPr>
          <w:rFonts w:ascii="Times New Roman" w:hAnsi="Times New Roman"/>
          <w:spacing w:val="-3"/>
          <w:sz w:val="22"/>
          <w:szCs w:val="22"/>
        </w:rPr>
        <w:t xml:space="preserve">market available yields (interest rates) and </w:t>
      </w:r>
      <w:r w:rsidR="00B40779" w:rsidRPr="00A249E4">
        <w:rPr>
          <w:rFonts w:ascii="Times New Roman" w:hAnsi="Times New Roman"/>
          <w:spacing w:val="-3"/>
          <w:sz w:val="22"/>
          <w:szCs w:val="22"/>
        </w:rPr>
        <w:t>outlook at the time of purchase.</w:t>
      </w:r>
      <w:r w:rsidR="00B24ECF">
        <w:rPr>
          <w:rFonts w:ascii="Times New Roman" w:hAnsi="Times New Roman"/>
          <w:spacing w:val="-3"/>
          <w:sz w:val="22"/>
          <w:szCs w:val="22"/>
        </w:rPr>
        <w:t xml:space="preserve"> </w:t>
      </w:r>
      <w:r w:rsidR="002A6E34" w:rsidRPr="00A249E4">
        <w:rPr>
          <w:rFonts w:ascii="Times New Roman" w:hAnsi="Times New Roman"/>
          <w:spacing w:val="-3"/>
          <w:sz w:val="22"/>
          <w:szCs w:val="22"/>
        </w:rPr>
        <w:t>T</w:t>
      </w:r>
      <w:r w:rsidR="00710091" w:rsidRPr="00A249E4">
        <w:rPr>
          <w:rFonts w:ascii="Times New Roman" w:hAnsi="Times New Roman"/>
          <w:spacing w:val="-3"/>
          <w:sz w:val="22"/>
          <w:szCs w:val="22"/>
        </w:rPr>
        <w:t>he</w:t>
      </w:r>
      <w:r w:rsidR="000E095B" w:rsidRPr="00A249E4">
        <w:rPr>
          <w:rFonts w:ascii="Times New Roman" w:hAnsi="Times New Roman"/>
          <w:spacing w:val="-3"/>
          <w:sz w:val="22"/>
          <w:szCs w:val="22"/>
        </w:rPr>
        <w:t>y</w:t>
      </w:r>
      <w:r w:rsidR="00710091" w:rsidRPr="00A249E4">
        <w:rPr>
          <w:rFonts w:ascii="Times New Roman" w:hAnsi="Times New Roman"/>
          <w:spacing w:val="-3"/>
          <w:sz w:val="22"/>
          <w:szCs w:val="22"/>
        </w:rPr>
        <w:t xml:space="preserve"> </w:t>
      </w:r>
      <w:r w:rsidR="00A04E17" w:rsidRPr="00A249E4">
        <w:rPr>
          <w:rFonts w:ascii="Times New Roman" w:hAnsi="Times New Roman"/>
          <w:spacing w:val="-3"/>
          <w:sz w:val="22"/>
          <w:szCs w:val="22"/>
        </w:rPr>
        <w:t>are</w:t>
      </w:r>
      <w:r w:rsidR="00710091" w:rsidRPr="00A249E4">
        <w:rPr>
          <w:rFonts w:ascii="Times New Roman" w:hAnsi="Times New Roman"/>
          <w:spacing w:val="-3"/>
          <w:sz w:val="22"/>
          <w:szCs w:val="22"/>
        </w:rPr>
        <w:t xml:space="preserve"> generally not revisited for changes in interest rates (only for impairment)</w:t>
      </w:r>
      <w:r w:rsidR="000E095B" w:rsidRPr="00A249E4">
        <w:rPr>
          <w:rFonts w:ascii="Times New Roman" w:hAnsi="Times New Roman"/>
          <w:spacing w:val="-3"/>
          <w:sz w:val="22"/>
          <w:szCs w:val="22"/>
        </w:rPr>
        <w:t>.</w:t>
      </w:r>
      <w:r w:rsidR="00B24ECF">
        <w:rPr>
          <w:rFonts w:ascii="Times New Roman" w:hAnsi="Times New Roman"/>
          <w:spacing w:val="-3"/>
          <w:sz w:val="22"/>
          <w:szCs w:val="22"/>
        </w:rPr>
        <w:t xml:space="preserve"> </w:t>
      </w:r>
      <w:r w:rsidR="000E095B" w:rsidRPr="00A249E4">
        <w:rPr>
          <w:rFonts w:ascii="Times New Roman" w:hAnsi="Times New Roman"/>
          <w:spacing w:val="-3"/>
          <w:sz w:val="22"/>
          <w:szCs w:val="22"/>
        </w:rPr>
        <w:t xml:space="preserve">The </w:t>
      </w:r>
      <w:r w:rsidR="000E095B" w:rsidRPr="00A249E4">
        <w:rPr>
          <w:rFonts w:ascii="Times New Roman" w:hAnsi="Times New Roman"/>
          <w:spacing w:val="-3"/>
          <w:sz w:val="22"/>
          <w:szCs w:val="22"/>
        </w:rPr>
        <w:lastRenderedPageBreak/>
        <w:t>amortized cost asset valuation approach maintains consistency with the valuation of liabilities.</w:t>
      </w:r>
      <w:r w:rsidR="00B24ECF">
        <w:rPr>
          <w:rFonts w:ascii="Times New Roman" w:hAnsi="Times New Roman"/>
          <w:spacing w:val="-3"/>
          <w:sz w:val="22"/>
          <w:szCs w:val="22"/>
        </w:rPr>
        <w:t xml:space="preserve"> </w:t>
      </w:r>
      <w:r w:rsidR="000E095B" w:rsidRPr="00A249E4">
        <w:rPr>
          <w:rFonts w:ascii="Times New Roman" w:hAnsi="Times New Roman"/>
          <w:spacing w:val="-3"/>
          <w:sz w:val="22"/>
          <w:szCs w:val="22"/>
        </w:rPr>
        <w:t>It also limits the use of market values, which are not always observable or reliable across the spectrum of assets insurance companies hold in support of their liabilities.</w:t>
      </w:r>
      <w:r w:rsidR="00B24ECF">
        <w:rPr>
          <w:rFonts w:ascii="Times New Roman" w:hAnsi="Times New Roman"/>
          <w:spacing w:val="-3"/>
          <w:sz w:val="22"/>
          <w:szCs w:val="22"/>
        </w:rPr>
        <w:t xml:space="preserve"> </w:t>
      </w:r>
    </w:p>
    <w:p w14:paraId="52CEF740" w14:textId="77777777" w:rsidR="000E095B" w:rsidRPr="00A249E4" w:rsidRDefault="000E095B" w:rsidP="00B40779">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6A2BC203" w14:textId="16E73C46" w:rsidR="00710091" w:rsidRPr="00A249E4" w:rsidRDefault="00710091" w:rsidP="00B40779">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However, if an asset is sold and a new asset is purchased, the company effectively “unlocks” the yield and reflect</w:t>
      </w:r>
      <w:r w:rsidR="00D84DCF" w:rsidRPr="00A249E4">
        <w:rPr>
          <w:rFonts w:ascii="Times New Roman" w:hAnsi="Times New Roman"/>
          <w:spacing w:val="-3"/>
          <w:sz w:val="22"/>
          <w:szCs w:val="22"/>
        </w:rPr>
        <w:t>s</w:t>
      </w:r>
      <w:r w:rsidRPr="00A249E4">
        <w:rPr>
          <w:rFonts w:ascii="Times New Roman" w:hAnsi="Times New Roman"/>
          <w:spacing w:val="-3"/>
          <w:sz w:val="22"/>
          <w:szCs w:val="22"/>
        </w:rPr>
        <w:t xml:space="preserve"> the current market available yield in </w:t>
      </w:r>
      <w:r w:rsidR="00D84DCF" w:rsidRPr="00A249E4">
        <w:rPr>
          <w:rFonts w:ascii="Times New Roman" w:hAnsi="Times New Roman"/>
          <w:spacing w:val="-3"/>
          <w:sz w:val="22"/>
          <w:szCs w:val="22"/>
        </w:rPr>
        <w:t xml:space="preserve">the </w:t>
      </w:r>
      <w:r w:rsidRPr="00A249E4">
        <w:rPr>
          <w:rFonts w:ascii="Times New Roman" w:hAnsi="Times New Roman"/>
          <w:spacing w:val="-3"/>
          <w:sz w:val="22"/>
          <w:szCs w:val="22"/>
        </w:rPr>
        <w:t>asset valuation.</w:t>
      </w:r>
      <w:r w:rsidR="00B24ECF">
        <w:rPr>
          <w:rFonts w:ascii="Times New Roman" w:hAnsi="Times New Roman"/>
          <w:spacing w:val="-3"/>
          <w:sz w:val="22"/>
          <w:szCs w:val="22"/>
        </w:rPr>
        <w:t xml:space="preserve"> </w:t>
      </w:r>
      <w:r w:rsidR="00FA0568" w:rsidRPr="00A249E4">
        <w:rPr>
          <w:rFonts w:ascii="Times New Roman" w:hAnsi="Times New Roman"/>
          <w:spacing w:val="-3"/>
          <w:sz w:val="22"/>
          <w:szCs w:val="22"/>
        </w:rPr>
        <w:t>T</w:t>
      </w:r>
      <w:r w:rsidRPr="00A249E4">
        <w:rPr>
          <w:rFonts w:ascii="Times New Roman" w:hAnsi="Times New Roman"/>
          <w:spacing w:val="-3"/>
          <w:sz w:val="22"/>
          <w:szCs w:val="22"/>
        </w:rPr>
        <w:t>he liability assumptions</w:t>
      </w:r>
      <w:r w:rsidR="00FA0568" w:rsidRPr="00A249E4">
        <w:rPr>
          <w:rFonts w:ascii="Times New Roman" w:hAnsi="Times New Roman"/>
          <w:spacing w:val="-3"/>
          <w:sz w:val="22"/>
          <w:szCs w:val="22"/>
        </w:rPr>
        <w:t>, as explained earlier,</w:t>
      </w:r>
      <w:r w:rsidRPr="00A249E4">
        <w:rPr>
          <w:rFonts w:ascii="Times New Roman" w:hAnsi="Times New Roman"/>
          <w:spacing w:val="-3"/>
          <w:sz w:val="22"/>
          <w:szCs w:val="22"/>
        </w:rPr>
        <w:t xml:space="preserve"> cannot be readily adjusted in the same manner</w:t>
      </w:r>
      <w:r w:rsidR="00717F3D" w:rsidRPr="00A249E4">
        <w:rPr>
          <w:rFonts w:ascii="Times New Roman" w:hAnsi="Times New Roman"/>
          <w:spacing w:val="-3"/>
          <w:sz w:val="22"/>
          <w:szCs w:val="22"/>
        </w:rPr>
        <w:t xml:space="preserve">. </w:t>
      </w:r>
      <w:r w:rsidR="00BD7B5C" w:rsidRPr="00A249E4">
        <w:rPr>
          <w:rFonts w:ascii="Times New Roman" w:hAnsi="Times New Roman"/>
          <w:spacing w:val="-3"/>
          <w:sz w:val="22"/>
          <w:szCs w:val="22"/>
        </w:rPr>
        <w:t xml:space="preserve">Because </w:t>
      </w:r>
      <w:r w:rsidR="00D61933" w:rsidRPr="00A249E4">
        <w:rPr>
          <w:rFonts w:ascii="Times New Roman" w:hAnsi="Times New Roman"/>
          <w:spacing w:val="-3"/>
          <w:sz w:val="22"/>
          <w:szCs w:val="22"/>
        </w:rPr>
        <w:t>of this potential for inconsistent asset and liability valuations</w:t>
      </w:r>
      <w:r w:rsidR="00717F3D" w:rsidRPr="00A249E4">
        <w:rPr>
          <w:rFonts w:ascii="Times New Roman" w:hAnsi="Times New Roman"/>
          <w:spacing w:val="-3"/>
          <w:sz w:val="22"/>
          <w:szCs w:val="22"/>
        </w:rPr>
        <w:t>,</w:t>
      </w:r>
      <w:r w:rsidRPr="00A249E4">
        <w:rPr>
          <w:rFonts w:ascii="Times New Roman" w:hAnsi="Times New Roman"/>
          <w:spacing w:val="-3"/>
          <w:sz w:val="22"/>
          <w:szCs w:val="22"/>
        </w:rPr>
        <w:t xml:space="preserve"> </w:t>
      </w:r>
      <w:r w:rsidR="00A04E17" w:rsidRPr="00A249E4">
        <w:rPr>
          <w:rFonts w:ascii="Times New Roman" w:hAnsi="Times New Roman"/>
          <w:spacing w:val="-3"/>
          <w:sz w:val="22"/>
          <w:szCs w:val="22"/>
        </w:rPr>
        <w:t xml:space="preserve">the company’s financial statements </w:t>
      </w:r>
      <w:r w:rsidRPr="00A249E4">
        <w:rPr>
          <w:rFonts w:ascii="Times New Roman" w:hAnsi="Times New Roman"/>
          <w:spacing w:val="-3"/>
          <w:sz w:val="22"/>
          <w:szCs w:val="22"/>
        </w:rPr>
        <w:t xml:space="preserve">could </w:t>
      </w:r>
      <w:r w:rsidR="001D6C49" w:rsidRPr="00A249E4">
        <w:rPr>
          <w:rFonts w:ascii="Times New Roman" w:hAnsi="Times New Roman"/>
          <w:spacing w:val="-3"/>
          <w:sz w:val="22"/>
          <w:szCs w:val="22"/>
        </w:rPr>
        <w:t>provide false indicators of financial strength or of financial weakness.</w:t>
      </w:r>
      <w:r w:rsidRPr="00A249E4">
        <w:rPr>
          <w:rFonts w:ascii="Times New Roman" w:hAnsi="Times New Roman"/>
          <w:spacing w:val="-3"/>
          <w:sz w:val="22"/>
          <w:szCs w:val="22"/>
        </w:rPr>
        <w:t xml:space="preserve"> </w:t>
      </w:r>
      <w:r w:rsidR="00023C99" w:rsidRPr="00A249E4">
        <w:rPr>
          <w:rFonts w:ascii="Times New Roman" w:hAnsi="Times New Roman"/>
          <w:spacing w:val="-3"/>
          <w:sz w:val="22"/>
          <w:szCs w:val="22"/>
        </w:rPr>
        <w:t>C</w:t>
      </w:r>
      <w:r w:rsidRPr="00A249E4">
        <w:rPr>
          <w:rFonts w:ascii="Times New Roman" w:hAnsi="Times New Roman"/>
          <w:spacing w:val="-3"/>
          <w:sz w:val="22"/>
          <w:szCs w:val="22"/>
        </w:rPr>
        <w:t>oncern</w:t>
      </w:r>
      <w:r w:rsidR="00023C99" w:rsidRPr="00A249E4">
        <w:rPr>
          <w:rFonts w:ascii="Times New Roman" w:hAnsi="Times New Roman"/>
          <w:spacing w:val="-3"/>
          <w:sz w:val="22"/>
          <w:szCs w:val="22"/>
        </w:rPr>
        <w:t>s related to this dynamic</w:t>
      </w:r>
      <w:r w:rsidRPr="00A249E4">
        <w:rPr>
          <w:rFonts w:ascii="Times New Roman" w:hAnsi="Times New Roman"/>
          <w:spacing w:val="-3"/>
          <w:sz w:val="22"/>
          <w:szCs w:val="22"/>
        </w:rPr>
        <w:t xml:space="preserve"> led to the </w:t>
      </w:r>
      <w:r w:rsidR="000C29F8" w:rsidRPr="00A249E4">
        <w:rPr>
          <w:rFonts w:ascii="Times New Roman" w:hAnsi="Times New Roman"/>
          <w:spacing w:val="-3"/>
          <w:sz w:val="22"/>
          <w:szCs w:val="22"/>
        </w:rPr>
        <w:t>development of</w:t>
      </w:r>
      <w:r w:rsidRPr="00A249E4">
        <w:rPr>
          <w:rFonts w:ascii="Times New Roman" w:hAnsi="Times New Roman"/>
          <w:spacing w:val="-3"/>
          <w:sz w:val="22"/>
          <w:szCs w:val="22"/>
        </w:rPr>
        <w:t xml:space="preserve"> a</w:t>
      </w:r>
      <w:r w:rsidR="00B459F5" w:rsidRPr="00A249E4">
        <w:rPr>
          <w:rFonts w:ascii="Times New Roman" w:hAnsi="Times New Roman"/>
          <w:spacing w:val="-3"/>
          <w:sz w:val="22"/>
          <w:szCs w:val="22"/>
        </w:rPr>
        <w:t xml:space="preserve"> prudent and</w:t>
      </w:r>
      <w:r w:rsidR="001F222D" w:rsidRPr="00A249E4">
        <w:rPr>
          <w:rFonts w:ascii="Times New Roman" w:hAnsi="Times New Roman"/>
          <w:spacing w:val="-3"/>
          <w:sz w:val="22"/>
          <w:szCs w:val="22"/>
        </w:rPr>
        <w:t xml:space="preserve"> innovative</w:t>
      </w:r>
      <w:r w:rsidRPr="00A249E4">
        <w:rPr>
          <w:rFonts w:ascii="Times New Roman" w:hAnsi="Times New Roman"/>
          <w:spacing w:val="-3"/>
          <w:sz w:val="22"/>
          <w:szCs w:val="22"/>
        </w:rPr>
        <w:t xml:space="preserve"> </w:t>
      </w:r>
      <w:r w:rsidR="00EC5F11">
        <w:rPr>
          <w:rFonts w:ascii="Times New Roman" w:hAnsi="Times New Roman"/>
          <w:spacing w:val="-3"/>
          <w:sz w:val="22"/>
          <w:szCs w:val="22"/>
        </w:rPr>
        <w:t>valuation</w:t>
      </w:r>
      <w:r w:rsidRPr="00A249E4">
        <w:rPr>
          <w:rFonts w:ascii="Times New Roman" w:hAnsi="Times New Roman"/>
          <w:spacing w:val="-3"/>
          <w:sz w:val="22"/>
          <w:szCs w:val="22"/>
        </w:rPr>
        <w:t xml:space="preserve"> </w:t>
      </w:r>
      <w:r w:rsidR="00A04E17" w:rsidRPr="00A249E4">
        <w:rPr>
          <w:rFonts w:ascii="Times New Roman" w:hAnsi="Times New Roman"/>
          <w:spacing w:val="-3"/>
          <w:sz w:val="22"/>
          <w:szCs w:val="22"/>
        </w:rPr>
        <w:t xml:space="preserve">adjustment </w:t>
      </w:r>
      <w:r w:rsidRPr="00A249E4">
        <w:rPr>
          <w:rFonts w:ascii="Times New Roman" w:hAnsi="Times New Roman"/>
          <w:spacing w:val="-3"/>
          <w:sz w:val="22"/>
          <w:szCs w:val="22"/>
        </w:rPr>
        <w:t>concept within the Statutory framework</w:t>
      </w:r>
      <w:r w:rsidR="00A04E17" w:rsidRPr="00A249E4">
        <w:rPr>
          <w:rFonts w:ascii="Times New Roman" w:hAnsi="Times New Roman"/>
          <w:spacing w:val="-3"/>
          <w:sz w:val="22"/>
          <w:szCs w:val="22"/>
        </w:rPr>
        <w:t>:</w:t>
      </w:r>
      <w:r w:rsidRPr="00A249E4">
        <w:rPr>
          <w:rFonts w:ascii="Times New Roman" w:hAnsi="Times New Roman"/>
          <w:spacing w:val="-3"/>
          <w:sz w:val="22"/>
          <w:szCs w:val="22"/>
        </w:rPr>
        <w:t xml:space="preserve"> the I</w:t>
      </w:r>
      <w:r w:rsidR="006F420B" w:rsidRPr="00A249E4">
        <w:rPr>
          <w:rFonts w:ascii="Times New Roman" w:hAnsi="Times New Roman"/>
          <w:spacing w:val="-3"/>
          <w:sz w:val="22"/>
          <w:szCs w:val="22"/>
        </w:rPr>
        <w:t xml:space="preserve">nterest </w:t>
      </w:r>
      <w:r w:rsidRPr="00A249E4">
        <w:rPr>
          <w:rFonts w:ascii="Times New Roman" w:hAnsi="Times New Roman"/>
          <w:spacing w:val="-3"/>
          <w:sz w:val="22"/>
          <w:szCs w:val="22"/>
        </w:rPr>
        <w:t>M</w:t>
      </w:r>
      <w:r w:rsidR="006F420B" w:rsidRPr="00A249E4">
        <w:rPr>
          <w:rFonts w:ascii="Times New Roman" w:hAnsi="Times New Roman"/>
          <w:spacing w:val="-3"/>
          <w:sz w:val="22"/>
          <w:szCs w:val="22"/>
        </w:rPr>
        <w:t xml:space="preserve">aintenance </w:t>
      </w:r>
      <w:r w:rsidRPr="00A249E4">
        <w:rPr>
          <w:rFonts w:ascii="Times New Roman" w:hAnsi="Times New Roman"/>
          <w:spacing w:val="-3"/>
          <w:sz w:val="22"/>
          <w:szCs w:val="22"/>
        </w:rPr>
        <w:t>R</w:t>
      </w:r>
      <w:r w:rsidR="006F420B" w:rsidRPr="00A249E4">
        <w:rPr>
          <w:rFonts w:ascii="Times New Roman" w:hAnsi="Times New Roman"/>
          <w:spacing w:val="-3"/>
          <w:sz w:val="22"/>
          <w:szCs w:val="22"/>
        </w:rPr>
        <w:t>eserve</w:t>
      </w:r>
      <w:r w:rsidRPr="00A249E4">
        <w:rPr>
          <w:rFonts w:ascii="Times New Roman" w:hAnsi="Times New Roman"/>
          <w:spacing w:val="-3"/>
          <w:sz w:val="22"/>
          <w:szCs w:val="22"/>
        </w:rPr>
        <w:t>.</w:t>
      </w:r>
      <w:r w:rsidR="00B24ECF">
        <w:rPr>
          <w:rFonts w:ascii="Times New Roman" w:hAnsi="Times New Roman"/>
          <w:spacing w:val="-3"/>
          <w:sz w:val="22"/>
          <w:szCs w:val="22"/>
        </w:rPr>
        <w:t xml:space="preserve"> </w:t>
      </w:r>
    </w:p>
    <w:p w14:paraId="791A883A" w14:textId="09E912FB" w:rsidR="00E453F7" w:rsidRPr="00A249E4" w:rsidRDefault="00E453F7" w:rsidP="00B40779">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6F5BE625" w14:textId="51048095" w:rsidR="00CA0502" w:rsidRPr="00A249E4" w:rsidRDefault="00CA0502" w:rsidP="00B40779">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u w:val="single"/>
        </w:rPr>
        <w:t>Interest Maintenance Reserve</w:t>
      </w:r>
    </w:p>
    <w:p w14:paraId="63DAF13A" w14:textId="77777777" w:rsidR="00CA0502" w:rsidRPr="00A249E4" w:rsidRDefault="00CA0502" w:rsidP="00B40779">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3850EE8C" w14:textId="154D4C13" w:rsidR="00F11BA2" w:rsidRPr="00A249E4" w:rsidRDefault="00F11BA2" w:rsidP="00F11BA2">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z w:val="22"/>
          <w:szCs w:val="22"/>
        </w:rPr>
      </w:pPr>
      <w:r w:rsidRPr="00A249E4">
        <w:rPr>
          <w:rFonts w:ascii="Times New Roman" w:hAnsi="Times New Roman"/>
          <w:sz w:val="22"/>
          <w:szCs w:val="22"/>
        </w:rPr>
        <w:t xml:space="preserve">The original E Committee report lays out many considerations reviewed during </w:t>
      </w:r>
      <w:r w:rsidR="001E5932" w:rsidRPr="00A249E4">
        <w:rPr>
          <w:rFonts w:ascii="Times New Roman" w:hAnsi="Times New Roman"/>
          <w:sz w:val="22"/>
          <w:szCs w:val="22"/>
        </w:rPr>
        <w:t xml:space="preserve">its </w:t>
      </w:r>
      <w:r w:rsidRPr="00A249E4">
        <w:rPr>
          <w:rFonts w:ascii="Times New Roman" w:hAnsi="Times New Roman"/>
          <w:sz w:val="22"/>
          <w:szCs w:val="22"/>
        </w:rPr>
        <w:t>development</w:t>
      </w:r>
      <w:r w:rsidR="001E5932" w:rsidRPr="00A249E4">
        <w:rPr>
          <w:rFonts w:ascii="Times New Roman" w:hAnsi="Times New Roman"/>
          <w:sz w:val="22"/>
          <w:szCs w:val="22"/>
        </w:rPr>
        <w:t xml:space="preserve"> of IMR</w:t>
      </w:r>
      <w:r w:rsidRPr="00A249E4">
        <w:rPr>
          <w:rFonts w:ascii="Times New Roman" w:hAnsi="Times New Roman"/>
          <w:sz w:val="22"/>
          <w:szCs w:val="22"/>
        </w:rPr>
        <w:t xml:space="preserve">, and it summarizes the IMR as: </w:t>
      </w:r>
    </w:p>
    <w:p w14:paraId="13DC3280" w14:textId="77777777" w:rsidR="00F11BA2" w:rsidRPr="00A249E4" w:rsidRDefault="00F11BA2" w:rsidP="00F11BA2">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z w:val="22"/>
          <w:szCs w:val="22"/>
        </w:rPr>
      </w:pPr>
    </w:p>
    <w:p w14:paraId="018A107A" w14:textId="792B7416" w:rsidR="00F11BA2" w:rsidRPr="00A249E4" w:rsidRDefault="00F11BA2" w:rsidP="00DA5C90">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576"/>
        <w:jc w:val="both"/>
        <w:rPr>
          <w:rFonts w:ascii="Times New Roman" w:hAnsi="Times New Roman"/>
          <w:i/>
          <w:iCs/>
          <w:sz w:val="22"/>
          <w:szCs w:val="22"/>
        </w:rPr>
      </w:pPr>
      <w:r w:rsidRPr="00A249E4">
        <w:rPr>
          <w:rFonts w:ascii="Times New Roman" w:hAnsi="Times New Roman"/>
          <w:i/>
          <w:iCs/>
          <w:sz w:val="22"/>
          <w:szCs w:val="22"/>
        </w:rPr>
        <w:t xml:space="preserve">The Interest Maintenance Reserve (IMR) - captures for all types of fixed income investments, </w:t>
      </w:r>
      <w:proofErr w:type="gramStart"/>
      <w:r w:rsidRPr="00A249E4">
        <w:rPr>
          <w:rFonts w:ascii="Times New Roman" w:hAnsi="Times New Roman"/>
          <w:i/>
          <w:iCs/>
          <w:sz w:val="22"/>
          <w:szCs w:val="22"/>
        </w:rPr>
        <w:t>all of</w:t>
      </w:r>
      <w:proofErr w:type="gramEnd"/>
      <w:r w:rsidRPr="00A249E4">
        <w:rPr>
          <w:rFonts w:ascii="Times New Roman" w:hAnsi="Times New Roman"/>
          <w:i/>
          <w:iCs/>
          <w:sz w:val="22"/>
          <w:szCs w:val="22"/>
        </w:rPr>
        <w:t xml:space="preserve"> the realized capital gains and losses which result from changes in the overall level of interest rates as they occur.</w:t>
      </w:r>
      <w:r w:rsidR="00B24ECF">
        <w:rPr>
          <w:rFonts w:ascii="Times New Roman" w:hAnsi="Times New Roman"/>
          <w:i/>
          <w:iCs/>
          <w:sz w:val="22"/>
          <w:szCs w:val="22"/>
        </w:rPr>
        <w:t xml:space="preserve"> </w:t>
      </w:r>
      <w:r w:rsidRPr="00A249E4">
        <w:rPr>
          <w:rFonts w:ascii="Times New Roman" w:hAnsi="Times New Roman"/>
          <w:i/>
          <w:iCs/>
          <w:sz w:val="22"/>
          <w:szCs w:val="22"/>
        </w:rPr>
        <w:t>Once captured, these capital gains or losses are amortized into income over the remaining life (period to maturity) of the investments sold.</w:t>
      </w:r>
      <w:r w:rsidR="00B24ECF">
        <w:rPr>
          <w:rFonts w:ascii="Times New Roman" w:hAnsi="Times New Roman"/>
          <w:i/>
          <w:iCs/>
          <w:sz w:val="22"/>
          <w:szCs w:val="22"/>
        </w:rPr>
        <w:t xml:space="preserve"> </w:t>
      </w:r>
      <w:r w:rsidRPr="00A249E4">
        <w:rPr>
          <w:rFonts w:ascii="Times New Roman" w:hAnsi="Times New Roman"/>
          <w:i/>
          <w:iCs/>
          <w:sz w:val="22"/>
          <w:szCs w:val="22"/>
        </w:rPr>
        <w:t>Realized gains and losses on derivative investments, which alter the interest rate characteristics of assets/liabilities, also are allocated to the IMR and are to be amortized into income over the life of the associated assets/liabilities.</w:t>
      </w:r>
      <w:r w:rsidR="00B24ECF" w:rsidRPr="00B24ECF">
        <w:rPr>
          <w:rStyle w:val="FootnoteReference"/>
          <w:rFonts w:ascii="Times New Roman" w:hAnsi="Times New Roman"/>
          <w:sz w:val="22"/>
          <w:szCs w:val="22"/>
        </w:rPr>
        <w:t xml:space="preserve"> </w:t>
      </w:r>
      <w:r w:rsidR="00B24ECF" w:rsidRPr="00A249E4">
        <w:rPr>
          <w:rStyle w:val="FootnoteReference"/>
          <w:rFonts w:ascii="Times New Roman" w:hAnsi="Times New Roman"/>
          <w:sz w:val="22"/>
          <w:szCs w:val="22"/>
        </w:rPr>
        <w:footnoteReference w:id="2"/>
      </w:r>
    </w:p>
    <w:p w14:paraId="6EA45D4A" w14:textId="77777777" w:rsidR="00C10519" w:rsidRPr="00A249E4" w:rsidRDefault="00C10519" w:rsidP="00C10519">
      <w:pPr>
        <w:jc w:val="both"/>
        <w:rPr>
          <w:rFonts w:ascii="Times New Roman" w:hAnsi="Times New Roman"/>
          <w:spacing w:val="-3"/>
          <w:sz w:val="22"/>
          <w:szCs w:val="22"/>
        </w:rPr>
      </w:pPr>
    </w:p>
    <w:p w14:paraId="01F05194" w14:textId="4C08EA6E" w:rsidR="00491905" w:rsidRDefault="00BC2E8F" w:rsidP="00DA5C90">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Ultimately, the IMR facilitates better alignment </w:t>
      </w:r>
      <w:r w:rsidR="00406FDF" w:rsidRPr="00A249E4">
        <w:rPr>
          <w:rFonts w:ascii="Times New Roman" w:hAnsi="Times New Roman"/>
          <w:spacing w:val="-3"/>
          <w:sz w:val="22"/>
          <w:szCs w:val="22"/>
        </w:rPr>
        <w:t>of</w:t>
      </w:r>
      <w:r w:rsidRPr="00A249E4">
        <w:rPr>
          <w:rFonts w:ascii="Times New Roman" w:hAnsi="Times New Roman"/>
          <w:spacing w:val="-3"/>
          <w:sz w:val="22"/>
          <w:szCs w:val="22"/>
        </w:rPr>
        <w:t xml:space="preserve"> the timing of interest rate related </w:t>
      </w:r>
      <w:r w:rsidR="00B44A40">
        <w:rPr>
          <w:rFonts w:ascii="Times New Roman" w:hAnsi="Times New Roman"/>
          <w:spacing w:val="-3"/>
          <w:sz w:val="22"/>
          <w:szCs w:val="22"/>
        </w:rPr>
        <w:t xml:space="preserve">gain/loss </w:t>
      </w:r>
      <w:r w:rsidRPr="00A249E4">
        <w:rPr>
          <w:rFonts w:ascii="Times New Roman" w:hAnsi="Times New Roman"/>
          <w:spacing w:val="-3"/>
          <w:sz w:val="22"/>
          <w:szCs w:val="22"/>
        </w:rPr>
        <w:t xml:space="preserve">realizations on certain fixed income investments with the interest rate assumptions embedded in the policyholder liabilities they support. </w:t>
      </w:r>
      <w:r w:rsidR="003A00F5">
        <w:rPr>
          <w:rFonts w:ascii="Times New Roman" w:hAnsi="Times New Roman"/>
          <w:spacing w:val="-3"/>
          <w:sz w:val="22"/>
          <w:szCs w:val="22"/>
        </w:rPr>
        <w:t xml:space="preserve">The </w:t>
      </w:r>
      <w:r w:rsidR="00491905" w:rsidRPr="00A249E4">
        <w:rPr>
          <w:rFonts w:ascii="Times New Roman" w:hAnsi="Times New Roman"/>
          <w:spacing w:val="-3"/>
          <w:sz w:val="22"/>
          <w:szCs w:val="22"/>
        </w:rPr>
        <w:t>IMR was developed to complement existing valuation practices, rather than replace them, and subsequent updates to valuation methodologies considered IMR in their development.</w:t>
      </w:r>
    </w:p>
    <w:p w14:paraId="3A522B30" w14:textId="77777777" w:rsidR="00491905" w:rsidRDefault="00491905" w:rsidP="00DA5C90">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77212C2A" w14:textId="2E3BDF0A" w:rsidR="00636BF3" w:rsidRPr="00A249E4" w:rsidRDefault="00315FE1" w:rsidP="00DA5C90">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There are times when IMR</w:t>
      </w:r>
      <w:r w:rsidR="00670031" w:rsidRPr="00A249E4">
        <w:rPr>
          <w:rFonts w:ascii="Times New Roman" w:hAnsi="Times New Roman"/>
          <w:spacing w:val="-3"/>
          <w:sz w:val="22"/>
          <w:szCs w:val="22"/>
        </w:rPr>
        <w:t xml:space="preserve"> treatment</w:t>
      </w:r>
      <w:r w:rsidRPr="00A249E4">
        <w:rPr>
          <w:rFonts w:ascii="Times New Roman" w:hAnsi="Times New Roman"/>
          <w:spacing w:val="-3"/>
          <w:sz w:val="22"/>
          <w:szCs w:val="22"/>
        </w:rPr>
        <w:t xml:space="preserve"> </w:t>
      </w:r>
      <w:r w:rsidR="00A073CA" w:rsidRPr="00A249E4">
        <w:rPr>
          <w:rFonts w:ascii="Times New Roman" w:hAnsi="Times New Roman"/>
          <w:spacing w:val="-3"/>
          <w:sz w:val="22"/>
          <w:szCs w:val="22"/>
        </w:rPr>
        <w:t xml:space="preserve">of an interest-related gain or loss </w:t>
      </w:r>
      <w:r w:rsidRPr="00A249E4">
        <w:rPr>
          <w:rFonts w:ascii="Times New Roman" w:hAnsi="Times New Roman"/>
          <w:spacing w:val="-3"/>
          <w:sz w:val="22"/>
          <w:szCs w:val="22"/>
        </w:rPr>
        <w:t>would no</w:t>
      </w:r>
      <w:r w:rsidR="00670031" w:rsidRPr="00A249E4">
        <w:rPr>
          <w:rFonts w:ascii="Times New Roman" w:hAnsi="Times New Roman"/>
          <w:spacing w:val="-3"/>
          <w:sz w:val="22"/>
          <w:szCs w:val="22"/>
        </w:rPr>
        <w:t>t</w:t>
      </w:r>
      <w:r w:rsidRPr="00A249E4">
        <w:rPr>
          <w:rFonts w:ascii="Times New Roman" w:hAnsi="Times New Roman"/>
          <w:spacing w:val="-3"/>
          <w:sz w:val="22"/>
          <w:szCs w:val="22"/>
        </w:rPr>
        <w:t xml:space="preserve"> be appropriate</w:t>
      </w:r>
      <w:r w:rsidR="00293CCD" w:rsidRPr="00A249E4">
        <w:rPr>
          <w:rFonts w:ascii="Times New Roman" w:hAnsi="Times New Roman"/>
          <w:spacing w:val="-3"/>
          <w:sz w:val="22"/>
          <w:szCs w:val="22"/>
        </w:rPr>
        <w:t>;</w:t>
      </w:r>
      <w:r w:rsidRPr="00A249E4">
        <w:rPr>
          <w:rFonts w:ascii="Times New Roman" w:hAnsi="Times New Roman"/>
          <w:spacing w:val="-3"/>
          <w:sz w:val="22"/>
          <w:szCs w:val="22"/>
        </w:rPr>
        <w:t xml:space="preserve"> </w:t>
      </w:r>
      <w:r w:rsidR="00293CCD" w:rsidRPr="00A249E4">
        <w:rPr>
          <w:rFonts w:ascii="Times New Roman" w:hAnsi="Times New Roman"/>
          <w:spacing w:val="-3"/>
          <w:sz w:val="22"/>
          <w:szCs w:val="22"/>
        </w:rPr>
        <w:t>f</w:t>
      </w:r>
      <w:r w:rsidR="00670031" w:rsidRPr="00A249E4">
        <w:rPr>
          <w:rFonts w:ascii="Times New Roman" w:hAnsi="Times New Roman"/>
          <w:spacing w:val="-3"/>
          <w:sz w:val="22"/>
          <w:szCs w:val="22"/>
        </w:rPr>
        <w:t>or instance</w:t>
      </w:r>
      <w:r w:rsidR="00F0686E" w:rsidRPr="00A249E4">
        <w:rPr>
          <w:rFonts w:ascii="Times New Roman" w:hAnsi="Times New Roman"/>
          <w:spacing w:val="-3"/>
          <w:sz w:val="22"/>
          <w:szCs w:val="22"/>
        </w:rPr>
        <w:t xml:space="preserve">, if assets are sold to fund </w:t>
      </w:r>
      <w:r w:rsidR="006E3F5E">
        <w:rPr>
          <w:rFonts w:ascii="Times New Roman" w:hAnsi="Times New Roman"/>
          <w:spacing w:val="-3"/>
          <w:sz w:val="22"/>
          <w:szCs w:val="22"/>
        </w:rPr>
        <w:t xml:space="preserve">excess </w:t>
      </w:r>
      <w:r w:rsidR="00F0686E" w:rsidRPr="00A249E4">
        <w:rPr>
          <w:rFonts w:ascii="Times New Roman" w:hAnsi="Times New Roman"/>
          <w:spacing w:val="-3"/>
          <w:sz w:val="22"/>
          <w:szCs w:val="22"/>
        </w:rPr>
        <w:t>withdrawals or surrenders or to meet other significant expenses, collateral calls, etc.</w:t>
      </w:r>
      <w:r w:rsidR="00B24ECF">
        <w:rPr>
          <w:rFonts w:ascii="Times New Roman" w:hAnsi="Times New Roman"/>
          <w:spacing w:val="-3"/>
          <w:sz w:val="22"/>
          <w:szCs w:val="22"/>
        </w:rPr>
        <w:t xml:space="preserve"> </w:t>
      </w:r>
      <w:r w:rsidR="00850802" w:rsidRPr="00A249E4">
        <w:rPr>
          <w:rFonts w:ascii="Times New Roman" w:hAnsi="Times New Roman"/>
          <w:spacing w:val="-3"/>
          <w:sz w:val="22"/>
          <w:szCs w:val="22"/>
        </w:rPr>
        <w:t>In general</w:t>
      </w:r>
      <w:r w:rsidR="00F0686E" w:rsidRPr="00A249E4">
        <w:rPr>
          <w:rFonts w:ascii="Times New Roman" w:hAnsi="Times New Roman"/>
          <w:spacing w:val="-3"/>
          <w:sz w:val="22"/>
          <w:szCs w:val="22"/>
        </w:rPr>
        <w:t xml:space="preserve">, the IMR is only appropriate </w:t>
      </w:r>
      <w:r w:rsidR="00501F54">
        <w:rPr>
          <w:rFonts w:ascii="Times New Roman" w:hAnsi="Times New Roman"/>
          <w:spacing w:val="-3"/>
          <w:sz w:val="22"/>
          <w:szCs w:val="22"/>
        </w:rPr>
        <w:t xml:space="preserve">for fixed income gains and losses from a portfolio of assets that support existing insurance liabilities.  </w:t>
      </w:r>
    </w:p>
    <w:p w14:paraId="12BDDE6F" w14:textId="77777777" w:rsidR="00DA5C90" w:rsidRPr="00A249E4" w:rsidRDefault="00DA5C90" w:rsidP="00F52968">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b/>
          <w:bCs/>
          <w:spacing w:val="-3"/>
          <w:sz w:val="22"/>
          <w:szCs w:val="22"/>
        </w:rPr>
      </w:pPr>
    </w:p>
    <w:p w14:paraId="6387D9E9" w14:textId="5F2E483E" w:rsidR="00F52968" w:rsidRPr="00A249E4" w:rsidRDefault="002A6E34" w:rsidP="00F52968">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b/>
          <w:bCs/>
          <w:spacing w:val="-3"/>
          <w:sz w:val="22"/>
          <w:szCs w:val="22"/>
        </w:rPr>
      </w:pPr>
      <w:r w:rsidRPr="00A249E4">
        <w:rPr>
          <w:rFonts w:ascii="Times New Roman" w:hAnsi="Times New Roman"/>
          <w:b/>
          <w:bCs/>
          <w:spacing w:val="-3"/>
          <w:sz w:val="22"/>
          <w:szCs w:val="22"/>
        </w:rPr>
        <w:t xml:space="preserve">Applicable Illustrative </w:t>
      </w:r>
      <w:r w:rsidR="00F52968" w:rsidRPr="00A249E4">
        <w:rPr>
          <w:rFonts w:ascii="Times New Roman" w:hAnsi="Times New Roman"/>
          <w:b/>
          <w:bCs/>
          <w:spacing w:val="-3"/>
          <w:sz w:val="22"/>
          <w:szCs w:val="22"/>
        </w:rPr>
        <w:t>Examples</w:t>
      </w:r>
    </w:p>
    <w:p w14:paraId="3AD072A5" w14:textId="69CAFCA7" w:rsidR="00F52968" w:rsidRPr="00A249E4" w:rsidRDefault="00F52968"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2B4B9545" w14:textId="2FB9C992" w:rsidR="00F52968" w:rsidRPr="00A249E4" w:rsidRDefault="00F0686E"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Illustrative examples </w:t>
      </w:r>
      <w:r w:rsidR="00041EFA" w:rsidRPr="00A249E4">
        <w:rPr>
          <w:rFonts w:ascii="Times New Roman" w:hAnsi="Times New Roman"/>
          <w:spacing w:val="-3"/>
          <w:sz w:val="22"/>
          <w:szCs w:val="22"/>
        </w:rPr>
        <w:t>are</w:t>
      </w:r>
      <w:r w:rsidRPr="00A249E4">
        <w:rPr>
          <w:rFonts w:ascii="Times New Roman" w:hAnsi="Times New Roman"/>
          <w:spacing w:val="-3"/>
          <w:sz w:val="22"/>
          <w:szCs w:val="22"/>
        </w:rPr>
        <w:t xml:space="preserve"> useful </w:t>
      </w:r>
      <w:r w:rsidR="00041EFA" w:rsidRPr="00A249E4">
        <w:rPr>
          <w:rFonts w:ascii="Times New Roman" w:hAnsi="Times New Roman"/>
          <w:spacing w:val="-3"/>
          <w:sz w:val="22"/>
          <w:szCs w:val="22"/>
        </w:rPr>
        <w:t>for</w:t>
      </w:r>
      <w:r w:rsidRPr="00A249E4">
        <w:rPr>
          <w:rFonts w:ascii="Times New Roman" w:hAnsi="Times New Roman"/>
          <w:spacing w:val="-3"/>
          <w:sz w:val="22"/>
          <w:szCs w:val="22"/>
        </w:rPr>
        <w:t xml:space="preserve"> understanding the concepts underpinning IMR. T</w:t>
      </w:r>
      <w:r w:rsidR="004107A3" w:rsidRPr="00A249E4">
        <w:rPr>
          <w:rFonts w:ascii="Times New Roman" w:hAnsi="Times New Roman"/>
          <w:spacing w:val="-3"/>
          <w:sz w:val="22"/>
          <w:szCs w:val="22"/>
        </w:rPr>
        <w:t>he</w:t>
      </w:r>
      <w:r w:rsidR="00041EFA" w:rsidRPr="00A249E4">
        <w:rPr>
          <w:rFonts w:ascii="Times New Roman" w:hAnsi="Times New Roman"/>
          <w:spacing w:val="-3"/>
          <w:sz w:val="22"/>
          <w:szCs w:val="22"/>
        </w:rPr>
        <w:t xml:space="preserve"> following</w:t>
      </w:r>
      <w:r w:rsidR="004107A3" w:rsidRPr="00A249E4">
        <w:rPr>
          <w:rFonts w:ascii="Times New Roman" w:hAnsi="Times New Roman"/>
          <w:spacing w:val="-3"/>
          <w:sz w:val="22"/>
          <w:szCs w:val="22"/>
        </w:rPr>
        <w:t xml:space="preserve"> examples are </w:t>
      </w:r>
      <w:r w:rsidRPr="00A249E4">
        <w:rPr>
          <w:rFonts w:ascii="Times New Roman" w:hAnsi="Times New Roman"/>
          <w:spacing w:val="-3"/>
          <w:sz w:val="22"/>
          <w:szCs w:val="22"/>
        </w:rPr>
        <w:t>simplified</w:t>
      </w:r>
      <w:r w:rsidR="00416E8F" w:rsidRPr="00A249E4">
        <w:rPr>
          <w:rFonts w:ascii="Times New Roman" w:hAnsi="Times New Roman"/>
          <w:spacing w:val="-3"/>
          <w:sz w:val="22"/>
          <w:szCs w:val="22"/>
        </w:rPr>
        <w:t xml:space="preserve"> (e.g., </w:t>
      </w:r>
      <w:r w:rsidR="00C403E8" w:rsidRPr="00A249E4">
        <w:rPr>
          <w:rFonts w:ascii="Times New Roman" w:hAnsi="Times New Roman"/>
          <w:spacing w:val="-3"/>
          <w:sz w:val="22"/>
          <w:szCs w:val="22"/>
        </w:rPr>
        <w:t>t</w:t>
      </w:r>
      <w:r w:rsidR="00416E8F" w:rsidRPr="00A249E4">
        <w:rPr>
          <w:rFonts w:ascii="Times New Roman" w:hAnsi="Times New Roman"/>
          <w:spacing w:val="-3"/>
          <w:sz w:val="22"/>
          <w:szCs w:val="22"/>
        </w:rPr>
        <w:t>he role asset adequacy testing plays in the valuation of liabilities</w:t>
      </w:r>
      <w:r w:rsidR="00C403E8" w:rsidRPr="00A249E4">
        <w:rPr>
          <w:rFonts w:ascii="Times New Roman" w:hAnsi="Times New Roman"/>
          <w:spacing w:val="-3"/>
          <w:sz w:val="22"/>
          <w:szCs w:val="22"/>
        </w:rPr>
        <w:t xml:space="preserve"> is ignored</w:t>
      </w:r>
      <w:r w:rsidR="00416E8F" w:rsidRPr="00A249E4">
        <w:rPr>
          <w:rFonts w:ascii="Times New Roman" w:hAnsi="Times New Roman"/>
          <w:spacing w:val="-3"/>
          <w:sz w:val="22"/>
          <w:szCs w:val="22"/>
        </w:rPr>
        <w:t>)</w:t>
      </w:r>
      <w:r w:rsidR="00C403E8" w:rsidRPr="00A249E4">
        <w:rPr>
          <w:rFonts w:ascii="Times New Roman" w:hAnsi="Times New Roman"/>
          <w:spacing w:val="-3"/>
          <w:sz w:val="22"/>
          <w:szCs w:val="22"/>
        </w:rPr>
        <w:t>,</w:t>
      </w:r>
      <w:r w:rsidR="004107A3" w:rsidRPr="00A249E4">
        <w:rPr>
          <w:rFonts w:ascii="Times New Roman" w:hAnsi="Times New Roman"/>
          <w:spacing w:val="-3"/>
          <w:sz w:val="22"/>
          <w:szCs w:val="22"/>
        </w:rPr>
        <w:t xml:space="preserve"> but </w:t>
      </w:r>
      <w:r w:rsidR="00C403E8" w:rsidRPr="00A249E4">
        <w:rPr>
          <w:rFonts w:ascii="Times New Roman" w:hAnsi="Times New Roman"/>
          <w:spacing w:val="-3"/>
          <w:sz w:val="22"/>
          <w:szCs w:val="22"/>
        </w:rPr>
        <w:t xml:space="preserve">they </w:t>
      </w:r>
      <w:r w:rsidRPr="00A249E4">
        <w:rPr>
          <w:rFonts w:ascii="Times New Roman" w:hAnsi="Times New Roman"/>
          <w:spacing w:val="-3"/>
          <w:sz w:val="22"/>
          <w:szCs w:val="22"/>
        </w:rPr>
        <w:t xml:space="preserve">illustrate </w:t>
      </w:r>
      <w:r w:rsidR="004107A3" w:rsidRPr="00A249E4">
        <w:rPr>
          <w:rFonts w:ascii="Times New Roman" w:hAnsi="Times New Roman"/>
          <w:spacing w:val="-3"/>
          <w:sz w:val="22"/>
          <w:szCs w:val="22"/>
        </w:rPr>
        <w:t xml:space="preserve">the implications of the valuation </w:t>
      </w:r>
      <w:r w:rsidR="00F27C02" w:rsidRPr="00A249E4">
        <w:rPr>
          <w:rFonts w:ascii="Times New Roman" w:hAnsi="Times New Roman"/>
          <w:spacing w:val="-3"/>
          <w:sz w:val="22"/>
          <w:szCs w:val="22"/>
        </w:rPr>
        <w:t xml:space="preserve">concepts </w:t>
      </w:r>
      <w:r w:rsidR="004107A3" w:rsidRPr="00A249E4">
        <w:rPr>
          <w:rFonts w:ascii="Times New Roman" w:hAnsi="Times New Roman"/>
          <w:spacing w:val="-3"/>
          <w:sz w:val="22"/>
          <w:szCs w:val="22"/>
        </w:rPr>
        <w:t>involved</w:t>
      </w:r>
      <w:r w:rsidRPr="00A249E4">
        <w:rPr>
          <w:rFonts w:ascii="Times New Roman" w:hAnsi="Times New Roman"/>
          <w:spacing w:val="-3"/>
          <w:sz w:val="22"/>
          <w:szCs w:val="22"/>
        </w:rPr>
        <w:t xml:space="preserve"> in the IMR’s development</w:t>
      </w:r>
      <w:r w:rsidR="004107A3" w:rsidRPr="00A249E4">
        <w:rPr>
          <w:rFonts w:ascii="Times New Roman" w:hAnsi="Times New Roman"/>
          <w:spacing w:val="-3"/>
          <w:sz w:val="22"/>
          <w:szCs w:val="22"/>
        </w:rPr>
        <w:t>.</w:t>
      </w:r>
      <w:r w:rsidR="00B24ECF">
        <w:rPr>
          <w:rFonts w:ascii="Times New Roman" w:hAnsi="Times New Roman"/>
          <w:spacing w:val="-3"/>
          <w:sz w:val="22"/>
          <w:szCs w:val="22"/>
        </w:rPr>
        <w:t xml:space="preserve"> </w:t>
      </w:r>
      <w:r w:rsidRPr="00A249E4">
        <w:rPr>
          <w:rFonts w:ascii="Times New Roman" w:hAnsi="Times New Roman"/>
          <w:spacing w:val="-3"/>
          <w:sz w:val="22"/>
          <w:szCs w:val="22"/>
        </w:rPr>
        <w:t xml:space="preserve">They can </w:t>
      </w:r>
      <w:r w:rsidR="004107A3" w:rsidRPr="00A249E4">
        <w:rPr>
          <w:rFonts w:ascii="Times New Roman" w:hAnsi="Times New Roman"/>
          <w:spacing w:val="-3"/>
          <w:sz w:val="22"/>
          <w:szCs w:val="22"/>
        </w:rPr>
        <w:t>then be</w:t>
      </w:r>
      <w:r w:rsidR="004C2387" w:rsidRPr="00A249E4">
        <w:rPr>
          <w:rFonts w:ascii="Times New Roman" w:hAnsi="Times New Roman"/>
          <w:spacing w:val="-3"/>
          <w:sz w:val="22"/>
          <w:szCs w:val="22"/>
        </w:rPr>
        <w:t xml:space="preserve"> </w:t>
      </w:r>
      <w:r w:rsidR="004107A3" w:rsidRPr="00A249E4">
        <w:rPr>
          <w:rFonts w:ascii="Times New Roman" w:hAnsi="Times New Roman"/>
          <w:spacing w:val="-3"/>
          <w:sz w:val="22"/>
          <w:szCs w:val="22"/>
        </w:rPr>
        <w:t xml:space="preserve">appropriately extrapolated to the more </w:t>
      </w:r>
      <w:r w:rsidR="00DF3BC4" w:rsidRPr="00A249E4">
        <w:rPr>
          <w:rFonts w:ascii="Times New Roman" w:hAnsi="Times New Roman"/>
          <w:spacing w:val="-3"/>
          <w:sz w:val="22"/>
          <w:szCs w:val="22"/>
        </w:rPr>
        <w:t xml:space="preserve">complex </w:t>
      </w:r>
      <w:r w:rsidR="00CD5023" w:rsidRPr="00A249E4">
        <w:rPr>
          <w:rFonts w:ascii="Times New Roman" w:hAnsi="Times New Roman"/>
          <w:spacing w:val="-3"/>
          <w:sz w:val="22"/>
          <w:szCs w:val="22"/>
        </w:rPr>
        <w:t>insurance contracts</w:t>
      </w:r>
      <w:r w:rsidR="00414879" w:rsidRPr="00A249E4">
        <w:rPr>
          <w:rFonts w:ascii="Times New Roman" w:hAnsi="Times New Roman"/>
          <w:spacing w:val="-3"/>
          <w:sz w:val="22"/>
          <w:szCs w:val="22"/>
        </w:rPr>
        <w:t xml:space="preserve"> and reserve methodologies</w:t>
      </w:r>
      <w:r w:rsidR="00CD5023" w:rsidRPr="00A249E4">
        <w:rPr>
          <w:rFonts w:ascii="Times New Roman" w:hAnsi="Times New Roman"/>
          <w:spacing w:val="-3"/>
          <w:sz w:val="22"/>
          <w:szCs w:val="22"/>
        </w:rPr>
        <w:t>.</w:t>
      </w:r>
    </w:p>
    <w:p w14:paraId="302C2009" w14:textId="77777777"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p>
    <w:p w14:paraId="1B77FC47" w14:textId="7E544013"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u w:val="single"/>
        </w:rPr>
        <w:t>Example</w:t>
      </w:r>
      <w:r w:rsidR="00F0686E" w:rsidRPr="00A249E4">
        <w:rPr>
          <w:rFonts w:ascii="Times New Roman" w:hAnsi="Times New Roman"/>
          <w:spacing w:val="-3"/>
          <w:sz w:val="22"/>
          <w:szCs w:val="22"/>
          <w:u w:val="single"/>
        </w:rPr>
        <w:t xml:space="preserve"> 1</w:t>
      </w:r>
    </w:p>
    <w:p w14:paraId="1E5D7449" w14:textId="0242C8D3"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p>
    <w:p w14:paraId="41675FE6" w14:textId="3807E846" w:rsidR="00244022" w:rsidRPr="00A249E4" w:rsidRDefault="00991F87"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Assume </w:t>
      </w:r>
      <w:r w:rsidR="006E3A3B" w:rsidRPr="00A249E4">
        <w:rPr>
          <w:rFonts w:ascii="Times New Roman" w:hAnsi="Times New Roman"/>
          <w:spacing w:val="-3"/>
          <w:sz w:val="22"/>
          <w:szCs w:val="22"/>
        </w:rPr>
        <w:t>C</w:t>
      </w:r>
      <w:r w:rsidR="00CD5023" w:rsidRPr="00A249E4">
        <w:rPr>
          <w:rFonts w:ascii="Times New Roman" w:hAnsi="Times New Roman"/>
          <w:spacing w:val="-3"/>
          <w:sz w:val="22"/>
          <w:szCs w:val="22"/>
        </w:rPr>
        <w:t xml:space="preserve">ompany </w:t>
      </w:r>
      <w:r w:rsidR="00F4298C" w:rsidRPr="00A249E4">
        <w:rPr>
          <w:rFonts w:ascii="Times New Roman" w:hAnsi="Times New Roman"/>
          <w:spacing w:val="-3"/>
          <w:sz w:val="22"/>
          <w:szCs w:val="22"/>
        </w:rPr>
        <w:t xml:space="preserve">XYZ </w:t>
      </w:r>
      <w:r w:rsidR="00414879" w:rsidRPr="00A249E4">
        <w:rPr>
          <w:rFonts w:ascii="Times New Roman" w:hAnsi="Times New Roman"/>
          <w:spacing w:val="-3"/>
          <w:sz w:val="22"/>
          <w:szCs w:val="22"/>
        </w:rPr>
        <w:t>starts</w:t>
      </w:r>
      <w:r w:rsidR="00CD5023" w:rsidRPr="00A249E4">
        <w:rPr>
          <w:rFonts w:ascii="Times New Roman" w:hAnsi="Times New Roman"/>
          <w:spacing w:val="-3"/>
          <w:sz w:val="22"/>
          <w:szCs w:val="22"/>
        </w:rPr>
        <w:t xml:space="preserve"> out with $10 of surplus invested in equity securities</w:t>
      </w:r>
      <w:r w:rsidR="00A811FD" w:rsidRPr="00A249E4">
        <w:rPr>
          <w:rFonts w:ascii="Times New Roman" w:hAnsi="Times New Roman"/>
          <w:spacing w:val="-3"/>
          <w:sz w:val="22"/>
          <w:szCs w:val="22"/>
        </w:rPr>
        <w:t xml:space="preserve"> with</w:t>
      </w:r>
      <w:r w:rsidR="00CD5023" w:rsidRPr="00A249E4">
        <w:rPr>
          <w:rFonts w:ascii="Times New Roman" w:hAnsi="Times New Roman"/>
          <w:spacing w:val="-3"/>
          <w:sz w:val="22"/>
          <w:szCs w:val="22"/>
        </w:rPr>
        <w:t xml:space="preserve"> no change in value over the period of valuation.</w:t>
      </w:r>
      <w:r w:rsidR="00B24ECF">
        <w:rPr>
          <w:rFonts w:ascii="Times New Roman" w:hAnsi="Times New Roman"/>
          <w:spacing w:val="-3"/>
          <w:sz w:val="22"/>
          <w:szCs w:val="22"/>
        </w:rPr>
        <w:t xml:space="preserve"> </w:t>
      </w:r>
      <w:r w:rsidR="00CD5023" w:rsidRPr="00A249E4">
        <w:rPr>
          <w:rFonts w:ascii="Times New Roman" w:hAnsi="Times New Roman"/>
          <w:spacing w:val="-3"/>
          <w:sz w:val="22"/>
          <w:szCs w:val="22"/>
        </w:rPr>
        <w:t xml:space="preserve">The </w:t>
      </w:r>
      <w:r w:rsidR="00A811FD" w:rsidRPr="00A249E4">
        <w:rPr>
          <w:rFonts w:ascii="Times New Roman" w:hAnsi="Times New Roman"/>
          <w:spacing w:val="-3"/>
          <w:sz w:val="22"/>
          <w:szCs w:val="22"/>
        </w:rPr>
        <w:t xml:space="preserve">prevailing </w:t>
      </w:r>
      <w:r w:rsidR="00CD5023" w:rsidRPr="00A249E4">
        <w:rPr>
          <w:rFonts w:ascii="Times New Roman" w:hAnsi="Times New Roman"/>
          <w:spacing w:val="-3"/>
          <w:sz w:val="22"/>
          <w:szCs w:val="22"/>
        </w:rPr>
        <w:t xml:space="preserve">interest rate environment is such that </w:t>
      </w:r>
      <w:r w:rsidRPr="00A249E4">
        <w:rPr>
          <w:rFonts w:ascii="Times New Roman" w:hAnsi="Times New Roman"/>
          <w:spacing w:val="-3"/>
          <w:sz w:val="22"/>
          <w:szCs w:val="22"/>
        </w:rPr>
        <w:t xml:space="preserve">the </w:t>
      </w:r>
      <w:r w:rsidR="00CD5023" w:rsidRPr="00A249E4">
        <w:rPr>
          <w:rFonts w:ascii="Times New Roman" w:hAnsi="Times New Roman"/>
          <w:spacing w:val="-3"/>
          <w:sz w:val="22"/>
          <w:szCs w:val="22"/>
        </w:rPr>
        <w:t xml:space="preserve">fixed income </w:t>
      </w:r>
      <w:r w:rsidR="00244022" w:rsidRPr="00A249E4">
        <w:rPr>
          <w:rFonts w:ascii="Times New Roman" w:hAnsi="Times New Roman"/>
          <w:spacing w:val="-3"/>
          <w:sz w:val="22"/>
          <w:szCs w:val="22"/>
        </w:rPr>
        <w:t xml:space="preserve">bond </w:t>
      </w:r>
      <w:r w:rsidR="00CD5023" w:rsidRPr="00A249E4">
        <w:rPr>
          <w:rFonts w:ascii="Times New Roman" w:hAnsi="Times New Roman"/>
          <w:spacing w:val="-3"/>
          <w:sz w:val="22"/>
          <w:szCs w:val="22"/>
        </w:rPr>
        <w:t>yield</w:t>
      </w:r>
      <w:r w:rsidR="00244022" w:rsidRPr="00A249E4">
        <w:rPr>
          <w:rFonts w:ascii="Times New Roman" w:hAnsi="Times New Roman"/>
          <w:spacing w:val="-3"/>
          <w:sz w:val="22"/>
          <w:szCs w:val="22"/>
        </w:rPr>
        <w:t xml:space="preserve"> and </w:t>
      </w:r>
      <w:r w:rsidRPr="00A249E4">
        <w:rPr>
          <w:rFonts w:ascii="Times New Roman" w:hAnsi="Times New Roman"/>
          <w:spacing w:val="-3"/>
          <w:sz w:val="22"/>
          <w:szCs w:val="22"/>
        </w:rPr>
        <w:t xml:space="preserve">the </w:t>
      </w:r>
      <w:r w:rsidR="00244022" w:rsidRPr="00A249E4">
        <w:rPr>
          <w:rFonts w:ascii="Times New Roman" w:hAnsi="Times New Roman"/>
          <w:spacing w:val="-3"/>
          <w:sz w:val="22"/>
          <w:szCs w:val="22"/>
        </w:rPr>
        <w:t>insurance liability valuation rate are both</w:t>
      </w:r>
      <w:r w:rsidR="00CD5023" w:rsidRPr="00A249E4">
        <w:rPr>
          <w:rFonts w:ascii="Times New Roman" w:hAnsi="Times New Roman"/>
          <w:spacing w:val="-3"/>
          <w:sz w:val="22"/>
          <w:szCs w:val="22"/>
        </w:rPr>
        <w:t xml:space="preserve"> 4%</w:t>
      </w:r>
      <w:r w:rsidR="00244022" w:rsidRPr="00A249E4">
        <w:rPr>
          <w:rFonts w:ascii="Times New Roman" w:hAnsi="Times New Roman"/>
          <w:spacing w:val="-3"/>
          <w:sz w:val="22"/>
          <w:szCs w:val="22"/>
        </w:rPr>
        <w:t xml:space="preserve">, </w:t>
      </w:r>
      <w:r w:rsidR="00CD5023" w:rsidRPr="00A249E4">
        <w:rPr>
          <w:rFonts w:ascii="Times New Roman" w:hAnsi="Times New Roman"/>
          <w:spacing w:val="-3"/>
          <w:sz w:val="22"/>
          <w:szCs w:val="22"/>
        </w:rPr>
        <w:t xml:space="preserve">and </w:t>
      </w:r>
      <w:r w:rsidR="00244022" w:rsidRPr="00A249E4">
        <w:rPr>
          <w:rFonts w:ascii="Times New Roman" w:hAnsi="Times New Roman"/>
          <w:spacing w:val="-3"/>
          <w:sz w:val="22"/>
          <w:szCs w:val="22"/>
        </w:rPr>
        <w:t xml:space="preserve">Company </w:t>
      </w:r>
      <w:r w:rsidR="00F4298C" w:rsidRPr="00A249E4">
        <w:rPr>
          <w:rFonts w:ascii="Times New Roman" w:hAnsi="Times New Roman"/>
          <w:spacing w:val="-3"/>
          <w:sz w:val="22"/>
          <w:szCs w:val="22"/>
        </w:rPr>
        <w:t>XYZ</w:t>
      </w:r>
      <w:r w:rsidR="00244022" w:rsidRPr="00A249E4">
        <w:rPr>
          <w:rFonts w:ascii="Times New Roman" w:hAnsi="Times New Roman"/>
          <w:spacing w:val="-3"/>
          <w:sz w:val="22"/>
          <w:szCs w:val="22"/>
        </w:rPr>
        <w:t>:</w:t>
      </w:r>
    </w:p>
    <w:p w14:paraId="08DECA1E" w14:textId="5363C97B" w:rsidR="00244022" w:rsidRPr="00A249E4" w:rsidRDefault="00244022" w:rsidP="00244022">
      <w:pPr>
        <w:pStyle w:val="ListParagraph"/>
        <w:numPr>
          <w:ilvl w:val="0"/>
          <w:numId w:val="6"/>
        </w:num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S</w:t>
      </w:r>
      <w:r w:rsidR="00772F71" w:rsidRPr="00A249E4">
        <w:rPr>
          <w:rFonts w:ascii="Times New Roman" w:hAnsi="Times New Roman"/>
          <w:spacing w:val="-3"/>
          <w:sz w:val="22"/>
          <w:szCs w:val="22"/>
        </w:rPr>
        <w:t>ells</w:t>
      </w:r>
      <w:r w:rsidR="00CD5023" w:rsidRPr="00A249E4">
        <w:rPr>
          <w:rFonts w:ascii="Times New Roman" w:hAnsi="Times New Roman"/>
          <w:spacing w:val="-3"/>
          <w:sz w:val="22"/>
          <w:szCs w:val="22"/>
        </w:rPr>
        <w:t xml:space="preserve"> an insurance contract that pays $</w:t>
      </w:r>
      <w:r w:rsidRPr="00A249E4">
        <w:rPr>
          <w:rFonts w:ascii="Times New Roman" w:hAnsi="Times New Roman"/>
          <w:spacing w:val="-3"/>
          <w:sz w:val="22"/>
          <w:szCs w:val="22"/>
        </w:rPr>
        <w:t>100</w:t>
      </w:r>
      <w:r w:rsidR="00CD5023" w:rsidRPr="00A249E4">
        <w:rPr>
          <w:rFonts w:ascii="Times New Roman" w:hAnsi="Times New Roman"/>
          <w:spacing w:val="-3"/>
          <w:sz w:val="22"/>
          <w:szCs w:val="22"/>
        </w:rPr>
        <w:t xml:space="preserve"> at the end of ten years as well as </w:t>
      </w:r>
      <w:r w:rsidR="00991F87" w:rsidRPr="00A249E4">
        <w:rPr>
          <w:rFonts w:ascii="Times New Roman" w:hAnsi="Times New Roman"/>
          <w:spacing w:val="-3"/>
          <w:sz w:val="22"/>
          <w:szCs w:val="22"/>
        </w:rPr>
        <w:t xml:space="preserve">pays </w:t>
      </w:r>
      <w:r w:rsidR="00CD5023" w:rsidRPr="00A249E4">
        <w:rPr>
          <w:rFonts w:ascii="Times New Roman" w:hAnsi="Times New Roman"/>
          <w:spacing w:val="-3"/>
          <w:sz w:val="22"/>
          <w:szCs w:val="22"/>
        </w:rPr>
        <w:t>$</w:t>
      </w:r>
      <w:r w:rsidRPr="00A249E4">
        <w:rPr>
          <w:rFonts w:ascii="Times New Roman" w:hAnsi="Times New Roman"/>
          <w:spacing w:val="-3"/>
          <w:sz w:val="22"/>
          <w:szCs w:val="22"/>
        </w:rPr>
        <w:t>4</w:t>
      </w:r>
      <w:r w:rsidR="00CD5023" w:rsidRPr="00A249E4">
        <w:rPr>
          <w:rFonts w:ascii="Times New Roman" w:hAnsi="Times New Roman"/>
          <w:spacing w:val="-3"/>
          <w:sz w:val="22"/>
          <w:szCs w:val="22"/>
        </w:rPr>
        <w:t xml:space="preserve"> at the end of years 1 – 10</w:t>
      </w:r>
      <w:r w:rsidRPr="00A249E4">
        <w:rPr>
          <w:rFonts w:ascii="Times New Roman" w:hAnsi="Times New Roman"/>
          <w:spacing w:val="-3"/>
          <w:sz w:val="22"/>
          <w:szCs w:val="22"/>
        </w:rPr>
        <w:t xml:space="preserve"> for $100 dollars of premium</w:t>
      </w:r>
      <w:r w:rsidR="00991F87" w:rsidRPr="00A249E4">
        <w:rPr>
          <w:rFonts w:ascii="Times New Roman" w:hAnsi="Times New Roman"/>
          <w:spacing w:val="-3"/>
          <w:sz w:val="22"/>
          <w:szCs w:val="22"/>
        </w:rPr>
        <w:t xml:space="preserve"> received today</w:t>
      </w:r>
      <w:r w:rsidR="00CD5023" w:rsidRPr="00A249E4">
        <w:rPr>
          <w:rFonts w:ascii="Times New Roman" w:hAnsi="Times New Roman"/>
          <w:spacing w:val="-3"/>
          <w:sz w:val="22"/>
          <w:szCs w:val="22"/>
        </w:rPr>
        <w:t>.</w:t>
      </w:r>
      <w:r w:rsidR="00B24ECF">
        <w:rPr>
          <w:rFonts w:ascii="Times New Roman" w:hAnsi="Times New Roman"/>
          <w:spacing w:val="-3"/>
          <w:sz w:val="22"/>
          <w:szCs w:val="22"/>
        </w:rPr>
        <w:t xml:space="preserve"> </w:t>
      </w:r>
    </w:p>
    <w:p w14:paraId="527E0B82" w14:textId="1C750795" w:rsidR="00244022" w:rsidRPr="00A249E4" w:rsidRDefault="00244022" w:rsidP="00244022">
      <w:pPr>
        <w:pStyle w:val="ListParagraph"/>
        <w:numPr>
          <w:ilvl w:val="0"/>
          <w:numId w:val="6"/>
        </w:num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Purchase</w:t>
      </w:r>
      <w:r w:rsidR="00772F71" w:rsidRPr="00A249E4">
        <w:rPr>
          <w:rFonts w:ascii="Times New Roman" w:hAnsi="Times New Roman"/>
          <w:spacing w:val="-3"/>
          <w:sz w:val="22"/>
          <w:szCs w:val="22"/>
        </w:rPr>
        <w:t>s</w:t>
      </w:r>
      <w:r w:rsidRPr="00A249E4">
        <w:rPr>
          <w:rFonts w:ascii="Times New Roman" w:hAnsi="Times New Roman"/>
          <w:spacing w:val="-3"/>
          <w:sz w:val="22"/>
          <w:szCs w:val="22"/>
        </w:rPr>
        <w:t xml:space="preserve"> a 10-year bond </w:t>
      </w:r>
      <w:r w:rsidR="00CF2C40" w:rsidRPr="00A249E4">
        <w:rPr>
          <w:rFonts w:ascii="Times New Roman" w:hAnsi="Times New Roman"/>
          <w:spacing w:val="-3"/>
          <w:sz w:val="22"/>
          <w:szCs w:val="22"/>
        </w:rPr>
        <w:t>with a coupon rate of</w:t>
      </w:r>
      <w:r w:rsidRPr="00A249E4">
        <w:rPr>
          <w:rFonts w:ascii="Times New Roman" w:hAnsi="Times New Roman"/>
          <w:spacing w:val="-3"/>
          <w:sz w:val="22"/>
          <w:szCs w:val="22"/>
        </w:rPr>
        <w:t xml:space="preserve"> 4% to support the liability.</w:t>
      </w:r>
    </w:p>
    <w:p w14:paraId="4D05C4E1" w14:textId="77777777" w:rsidR="00244022" w:rsidRPr="00A249E4" w:rsidRDefault="00244022" w:rsidP="00244022">
      <w:pPr>
        <w:pStyle w:val="ListParagraph"/>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3D103EB8" w14:textId="29DA59DB" w:rsidR="00CD5023" w:rsidRPr="00A249E4" w:rsidRDefault="00CD5023" w:rsidP="00244022">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Under statu</w:t>
      </w:r>
      <w:r w:rsidR="00DA5C90" w:rsidRPr="00A249E4">
        <w:rPr>
          <w:rFonts w:ascii="Times New Roman" w:hAnsi="Times New Roman"/>
          <w:spacing w:val="-3"/>
          <w:sz w:val="22"/>
          <w:szCs w:val="22"/>
        </w:rPr>
        <w:t>tor</w:t>
      </w:r>
      <w:r w:rsidRPr="00A249E4">
        <w:rPr>
          <w:rFonts w:ascii="Times New Roman" w:hAnsi="Times New Roman"/>
          <w:spacing w:val="-3"/>
          <w:sz w:val="22"/>
          <w:szCs w:val="22"/>
        </w:rPr>
        <w:t xml:space="preserve">y accounting, Company </w:t>
      </w:r>
      <w:r w:rsidR="00F4298C" w:rsidRPr="00A249E4">
        <w:rPr>
          <w:rFonts w:ascii="Times New Roman" w:hAnsi="Times New Roman"/>
          <w:spacing w:val="-3"/>
          <w:sz w:val="22"/>
          <w:szCs w:val="22"/>
        </w:rPr>
        <w:t xml:space="preserve">XYZ’s </w:t>
      </w:r>
      <w:r w:rsidRPr="00A249E4">
        <w:rPr>
          <w:rFonts w:ascii="Times New Roman" w:hAnsi="Times New Roman"/>
          <w:spacing w:val="-3"/>
          <w:sz w:val="22"/>
          <w:szCs w:val="22"/>
        </w:rPr>
        <w:t xml:space="preserve">balance sheet would look like </w:t>
      </w:r>
      <w:r w:rsidR="00002543" w:rsidRPr="00A249E4">
        <w:rPr>
          <w:rFonts w:ascii="Times New Roman" w:hAnsi="Times New Roman"/>
          <w:spacing w:val="-3"/>
          <w:sz w:val="22"/>
          <w:szCs w:val="22"/>
        </w:rPr>
        <w:t>Figure A</w:t>
      </w:r>
      <w:r w:rsidR="00CE0B3C" w:rsidRPr="00A249E4">
        <w:rPr>
          <w:rFonts w:ascii="Times New Roman" w:hAnsi="Times New Roman"/>
          <w:spacing w:val="-3"/>
          <w:sz w:val="22"/>
          <w:szCs w:val="22"/>
        </w:rPr>
        <w:t>.</w:t>
      </w:r>
    </w:p>
    <w:p w14:paraId="6E33992C" w14:textId="6E89C1D6"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bl>
      <w:tblPr>
        <w:tblStyle w:val="TableGrid"/>
        <w:tblW w:w="0" w:type="auto"/>
        <w:tblLook w:val="04A0" w:firstRow="1" w:lastRow="0" w:firstColumn="1" w:lastColumn="0" w:noHBand="0" w:noVBand="1"/>
      </w:tblPr>
      <w:tblGrid>
        <w:gridCol w:w="4675"/>
        <w:gridCol w:w="4675"/>
      </w:tblGrid>
      <w:tr w:rsidR="00244022" w:rsidRPr="00A249E4" w14:paraId="1718BE9A" w14:textId="77777777" w:rsidTr="00604FF5">
        <w:tc>
          <w:tcPr>
            <w:tcW w:w="9350" w:type="dxa"/>
            <w:gridSpan w:val="2"/>
          </w:tcPr>
          <w:p w14:paraId="449EB1D3" w14:textId="39BCFA6A" w:rsidR="00244022" w:rsidRPr="00A249E4" w:rsidRDefault="00DF3BC4"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Figure </w:t>
            </w:r>
            <w:r w:rsidR="00244022" w:rsidRPr="00A249E4">
              <w:rPr>
                <w:rFonts w:ascii="Times New Roman" w:hAnsi="Times New Roman"/>
                <w:spacing w:val="-3"/>
                <w:sz w:val="22"/>
                <w:szCs w:val="22"/>
              </w:rPr>
              <w:t>A</w:t>
            </w:r>
          </w:p>
        </w:tc>
      </w:tr>
      <w:tr w:rsidR="00CD5023" w:rsidRPr="00A249E4" w14:paraId="2FACAE73" w14:textId="77777777" w:rsidTr="00CD5023">
        <w:tc>
          <w:tcPr>
            <w:tcW w:w="4675" w:type="dxa"/>
          </w:tcPr>
          <w:p w14:paraId="5BFBE566" w14:textId="0AE1C811"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Assets</w:t>
            </w:r>
          </w:p>
        </w:tc>
        <w:tc>
          <w:tcPr>
            <w:tcW w:w="4675" w:type="dxa"/>
          </w:tcPr>
          <w:p w14:paraId="699C63C7" w14:textId="209AD974"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Liabilities and Surplus</w:t>
            </w:r>
          </w:p>
        </w:tc>
      </w:tr>
      <w:tr w:rsidR="00CD5023" w:rsidRPr="00A249E4" w14:paraId="230849E2" w14:textId="77777777" w:rsidTr="00CD5023">
        <w:tc>
          <w:tcPr>
            <w:tcW w:w="4675" w:type="dxa"/>
          </w:tcPr>
          <w:p w14:paraId="3F809AFE" w14:textId="006B6B4E"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Bonds                        100             </w:t>
            </w:r>
          </w:p>
          <w:p w14:paraId="4BD66C85" w14:textId="70B85504"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Equities                    </w:t>
            </w:r>
            <w:r w:rsidRPr="00A249E4">
              <w:rPr>
                <w:rFonts w:ascii="Times New Roman" w:hAnsi="Times New Roman"/>
                <w:spacing w:val="-3"/>
                <w:sz w:val="22"/>
                <w:szCs w:val="22"/>
                <w:u w:val="single"/>
              </w:rPr>
              <w:t xml:space="preserve">   10</w:t>
            </w:r>
          </w:p>
          <w:p w14:paraId="38A5B8E1" w14:textId="582E096F"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   Total Assets          </w:t>
            </w:r>
            <w:r w:rsidRPr="00A249E4">
              <w:rPr>
                <w:rFonts w:ascii="Times New Roman" w:hAnsi="Times New Roman"/>
                <w:spacing w:val="-3"/>
                <w:sz w:val="22"/>
                <w:szCs w:val="22"/>
                <w:u w:val="double"/>
              </w:rPr>
              <w:t xml:space="preserve"> 110</w:t>
            </w:r>
            <w:r w:rsidRPr="00A249E4">
              <w:rPr>
                <w:rFonts w:ascii="Times New Roman" w:hAnsi="Times New Roman"/>
                <w:spacing w:val="-3"/>
                <w:sz w:val="22"/>
                <w:szCs w:val="22"/>
              </w:rPr>
              <w:t xml:space="preserve"> </w:t>
            </w:r>
          </w:p>
          <w:p w14:paraId="0EAD2D80" w14:textId="4FA644AE"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c>
        <w:tc>
          <w:tcPr>
            <w:tcW w:w="4675" w:type="dxa"/>
          </w:tcPr>
          <w:p w14:paraId="1BF74B30" w14:textId="260F4B66"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Insurance liability                   100</w:t>
            </w:r>
          </w:p>
          <w:p w14:paraId="2E44BFE7" w14:textId="4FCFA3ED"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rPr>
              <w:t xml:space="preserve">Surplus                                    </w:t>
            </w:r>
            <w:r w:rsidRPr="00A249E4">
              <w:rPr>
                <w:rFonts w:ascii="Times New Roman" w:hAnsi="Times New Roman"/>
                <w:spacing w:val="-3"/>
                <w:sz w:val="22"/>
                <w:szCs w:val="22"/>
                <w:u w:val="single"/>
              </w:rPr>
              <w:t xml:space="preserve">  10</w:t>
            </w:r>
          </w:p>
          <w:p w14:paraId="24B73210" w14:textId="58315DEA"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   Liabilities &amp; Surplus           </w:t>
            </w:r>
            <w:r w:rsidRPr="00A249E4">
              <w:rPr>
                <w:rFonts w:ascii="Times New Roman" w:hAnsi="Times New Roman"/>
                <w:spacing w:val="-3"/>
                <w:sz w:val="22"/>
                <w:szCs w:val="22"/>
                <w:u w:val="double"/>
              </w:rPr>
              <w:t>110</w:t>
            </w:r>
          </w:p>
        </w:tc>
      </w:tr>
    </w:tbl>
    <w:p w14:paraId="571EF1E3" w14:textId="70970F51" w:rsidR="00CD5023" w:rsidRPr="00A249E4" w:rsidRDefault="00CD502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65EC3A33" w14:textId="4D59F767" w:rsidR="00B4537B" w:rsidRPr="00A249E4" w:rsidRDefault="00B8260A"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Next, assume that bond yields drop to 2% </w:t>
      </w:r>
      <w:r w:rsidR="009E2679" w:rsidRPr="00A249E4">
        <w:rPr>
          <w:rFonts w:ascii="Times New Roman" w:hAnsi="Times New Roman"/>
          <w:spacing w:val="-3"/>
          <w:sz w:val="22"/>
          <w:szCs w:val="22"/>
        </w:rPr>
        <w:t>i</w:t>
      </w:r>
      <w:r w:rsidR="00244022" w:rsidRPr="00A249E4">
        <w:rPr>
          <w:rFonts w:ascii="Times New Roman" w:hAnsi="Times New Roman"/>
          <w:spacing w:val="-3"/>
          <w:sz w:val="22"/>
          <w:szCs w:val="22"/>
        </w:rPr>
        <w:t xml:space="preserve">mmediately after </w:t>
      </w:r>
      <w:r w:rsidR="009E2679" w:rsidRPr="00A249E4">
        <w:rPr>
          <w:rFonts w:ascii="Times New Roman" w:hAnsi="Times New Roman"/>
          <w:spacing w:val="-3"/>
          <w:sz w:val="22"/>
          <w:szCs w:val="22"/>
        </w:rPr>
        <w:t xml:space="preserve">Company XYZ </w:t>
      </w:r>
      <w:r w:rsidR="00244022" w:rsidRPr="00A249E4">
        <w:rPr>
          <w:rFonts w:ascii="Times New Roman" w:hAnsi="Times New Roman"/>
          <w:spacing w:val="-3"/>
          <w:sz w:val="22"/>
          <w:szCs w:val="22"/>
        </w:rPr>
        <w:t>purchas</w:t>
      </w:r>
      <w:r w:rsidR="009E2679" w:rsidRPr="00A249E4">
        <w:rPr>
          <w:rFonts w:ascii="Times New Roman" w:hAnsi="Times New Roman"/>
          <w:spacing w:val="-3"/>
          <w:sz w:val="22"/>
          <w:szCs w:val="22"/>
        </w:rPr>
        <w:t>e</w:t>
      </w:r>
      <w:r w:rsidR="00B155A6">
        <w:rPr>
          <w:rFonts w:ascii="Times New Roman" w:hAnsi="Times New Roman"/>
          <w:spacing w:val="-3"/>
          <w:sz w:val="22"/>
          <w:szCs w:val="22"/>
        </w:rPr>
        <w:t>s</w:t>
      </w:r>
      <w:r w:rsidR="00244022" w:rsidRPr="00A249E4">
        <w:rPr>
          <w:rFonts w:ascii="Times New Roman" w:hAnsi="Times New Roman"/>
          <w:spacing w:val="-3"/>
          <w:sz w:val="22"/>
          <w:szCs w:val="22"/>
        </w:rPr>
        <w:t xml:space="preserve"> the bond.</w:t>
      </w:r>
      <w:r w:rsidR="00B24ECF">
        <w:rPr>
          <w:rFonts w:ascii="Times New Roman" w:hAnsi="Times New Roman"/>
          <w:spacing w:val="-3"/>
          <w:sz w:val="22"/>
          <w:szCs w:val="22"/>
        </w:rPr>
        <w:t xml:space="preserve"> </w:t>
      </w:r>
      <w:r w:rsidR="00244022" w:rsidRPr="00A249E4">
        <w:rPr>
          <w:rFonts w:ascii="Times New Roman" w:hAnsi="Times New Roman"/>
          <w:spacing w:val="-3"/>
          <w:sz w:val="22"/>
          <w:szCs w:val="22"/>
        </w:rPr>
        <w:t xml:space="preserve">Company </w:t>
      </w:r>
      <w:r w:rsidR="00DC0056" w:rsidRPr="00A249E4">
        <w:rPr>
          <w:rFonts w:ascii="Times New Roman" w:hAnsi="Times New Roman"/>
          <w:spacing w:val="-3"/>
          <w:sz w:val="22"/>
          <w:szCs w:val="22"/>
        </w:rPr>
        <w:t xml:space="preserve">XYZ’s </w:t>
      </w:r>
      <w:r w:rsidR="00244022" w:rsidRPr="00A249E4">
        <w:rPr>
          <w:rFonts w:ascii="Times New Roman" w:hAnsi="Times New Roman"/>
          <w:spacing w:val="-3"/>
          <w:sz w:val="22"/>
          <w:szCs w:val="22"/>
        </w:rPr>
        <w:t>balance sheet would not change</w:t>
      </w:r>
      <w:r w:rsidR="00DF3BC4" w:rsidRPr="00A249E4">
        <w:rPr>
          <w:rFonts w:ascii="Times New Roman" w:hAnsi="Times New Roman"/>
          <w:spacing w:val="-3"/>
          <w:sz w:val="22"/>
          <w:szCs w:val="22"/>
        </w:rPr>
        <w:t>,</w:t>
      </w:r>
      <w:r w:rsidR="00244022" w:rsidRPr="00A249E4">
        <w:rPr>
          <w:rFonts w:ascii="Times New Roman" w:hAnsi="Times New Roman"/>
          <w:spacing w:val="-3"/>
          <w:sz w:val="22"/>
          <w:szCs w:val="22"/>
        </w:rPr>
        <w:t xml:space="preserve"> although the bond </w:t>
      </w:r>
      <w:r w:rsidR="00CF2C40" w:rsidRPr="00A249E4">
        <w:rPr>
          <w:rFonts w:ascii="Times New Roman" w:hAnsi="Times New Roman"/>
          <w:spacing w:val="-3"/>
          <w:sz w:val="22"/>
          <w:szCs w:val="22"/>
        </w:rPr>
        <w:t>is</w:t>
      </w:r>
      <w:r w:rsidR="00244022" w:rsidRPr="00A249E4">
        <w:rPr>
          <w:rFonts w:ascii="Times New Roman" w:hAnsi="Times New Roman"/>
          <w:spacing w:val="-3"/>
          <w:sz w:val="22"/>
          <w:szCs w:val="22"/>
        </w:rPr>
        <w:t xml:space="preserve"> now valued at </w:t>
      </w:r>
      <w:r w:rsidR="00B4537B" w:rsidRPr="00A249E4">
        <w:rPr>
          <w:rFonts w:ascii="Times New Roman" w:hAnsi="Times New Roman"/>
          <w:spacing w:val="-3"/>
          <w:sz w:val="22"/>
          <w:szCs w:val="22"/>
        </w:rPr>
        <w:t>$118.</w:t>
      </w:r>
      <w:r w:rsidR="00B24ECF">
        <w:rPr>
          <w:rFonts w:ascii="Times New Roman" w:hAnsi="Times New Roman"/>
          <w:spacing w:val="-3"/>
          <w:sz w:val="22"/>
          <w:szCs w:val="22"/>
        </w:rPr>
        <w:t xml:space="preserve"> </w:t>
      </w:r>
      <w:r w:rsidR="00B4537B" w:rsidRPr="00A249E4">
        <w:rPr>
          <w:rFonts w:ascii="Times New Roman" w:hAnsi="Times New Roman"/>
          <w:spacing w:val="-3"/>
          <w:sz w:val="22"/>
          <w:szCs w:val="22"/>
        </w:rPr>
        <w:t xml:space="preserve">From a statutory solvency perspective, there is no concern with the balance sheet because </w:t>
      </w:r>
      <w:r w:rsidR="00087DD1" w:rsidRPr="00A249E4">
        <w:rPr>
          <w:rFonts w:ascii="Times New Roman" w:hAnsi="Times New Roman"/>
          <w:spacing w:val="-3"/>
          <w:sz w:val="22"/>
          <w:szCs w:val="22"/>
        </w:rPr>
        <w:t xml:space="preserve">the bond can fund the liability and </w:t>
      </w:r>
      <w:r w:rsidR="00B4537B" w:rsidRPr="00A249E4">
        <w:rPr>
          <w:rFonts w:ascii="Times New Roman" w:hAnsi="Times New Roman"/>
          <w:spacing w:val="-3"/>
          <w:sz w:val="22"/>
          <w:szCs w:val="22"/>
        </w:rPr>
        <w:t>the financial statements are reported on a financially integrated basis and</w:t>
      </w:r>
      <w:r w:rsidR="00087DD1" w:rsidRPr="00A249E4">
        <w:rPr>
          <w:rFonts w:ascii="Times New Roman" w:hAnsi="Times New Roman"/>
          <w:spacing w:val="-3"/>
          <w:sz w:val="22"/>
          <w:szCs w:val="22"/>
        </w:rPr>
        <w:t xml:space="preserve"> accurately reflect solvency</w:t>
      </w:r>
      <w:r w:rsidR="00B4537B" w:rsidRPr="00A249E4">
        <w:rPr>
          <w:rFonts w:ascii="Times New Roman" w:hAnsi="Times New Roman"/>
          <w:spacing w:val="-3"/>
          <w:sz w:val="22"/>
          <w:szCs w:val="22"/>
        </w:rPr>
        <w:t>.</w:t>
      </w:r>
    </w:p>
    <w:p w14:paraId="2FBA35C1" w14:textId="77777777" w:rsidR="00B4537B" w:rsidRPr="00A249E4" w:rsidRDefault="00B4537B"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7AE418B4" w14:textId="16EC2CC1" w:rsidR="00CD5023" w:rsidRPr="00A249E4" w:rsidRDefault="00B4537B"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Later that day, </w:t>
      </w:r>
      <w:r w:rsidR="00087DD1" w:rsidRPr="00A249E4">
        <w:rPr>
          <w:rFonts w:ascii="Times New Roman" w:hAnsi="Times New Roman"/>
          <w:spacing w:val="-3"/>
          <w:sz w:val="22"/>
          <w:szCs w:val="22"/>
        </w:rPr>
        <w:t xml:space="preserve">assume </w:t>
      </w:r>
      <w:r w:rsidRPr="00A249E4">
        <w:rPr>
          <w:rFonts w:ascii="Times New Roman" w:hAnsi="Times New Roman"/>
          <w:spacing w:val="-3"/>
          <w:sz w:val="22"/>
          <w:szCs w:val="22"/>
        </w:rPr>
        <w:t xml:space="preserve">Company </w:t>
      </w:r>
      <w:r w:rsidR="00087DD1" w:rsidRPr="00A249E4">
        <w:rPr>
          <w:rFonts w:ascii="Times New Roman" w:hAnsi="Times New Roman"/>
          <w:spacing w:val="-3"/>
          <w:sz w:val="22"/>
          <w:szCs w:val="22"/>
        </w:rPr>
        <w:t xml:space="preserve">XYZ </w:t>
      </w:r>
      <w:r w:rsidRPr="00A249E4">
        <w:rPr>
          <w:rFonts w:ascii="Times New Roman" w:hAnsi="Times New Roman"/>
          <w:spacing w:val="-3"/>
          <w:sz w:val="22"/>
          <w:szCs w:val="22"/>
        </w:rPr>
        <w:t>s</w:t>
      </w:r>
      <w:r w:rsidR="00087DD1" w:rsidRPr="00A249E4">
        <w:rPr>
          <w:rFonts w:ascii="Times New Roman" w:hAnsi="Times New Roman"/>
          <w:spacing w:val="-3"/>
          <w:sz w:val="22"/>
          <w:szCs w:val="22"/>
        </w:rPr>
        <w:t>ells</w:t>
      </w:r>
      <w:r w:rsidRPr="00A249E4">
        <w:rPr>
          <w:rFonts w:ascii="Times New Roman" w:hAnsi="Times New Roman"/>
          <w:spacing w:val="-3"/>
          <w:sz w:val="22"/>
          <w:szCs w:val="22"/>
        </w:rPr>
        <w:t xml:space="preserve"> </w:t>
      </w:r>
      <w:r w:rsidR="002E4302" w:rsidRPr="00A249E4">
        <w:rPr>
          <w:rFonts w:ascii="Times New Roman" w:hAnsi="Times New Roman"/>
          <w:spacing w:val="-3"/>
          <w:sz w:val="22"/>
          <w:szCs w:val="22"/>
        </w:rPr>
        <w:t>the</w:t>
      </w:r>
      <w:r w:rsidRPr="00A249E4">
        <w:rPr>
          <w:rFonts w:ascii="Times New Roman" w:hAnsi="Times New Roman"/>
          <w:spacing w:val="-3"/>
          <w:sz w:val="22"/>
          <w:szCs w:val="22"/>
        </w:rPr>
        <w:t xml:space="preserve"> bond and immediately</w:t>
      </w:r>
      <w:r w:rsidR="00401352" w:rsidRPr="00A249E4">
        <w:rPr>
          <w:rFonts w:ascii="Times New Roman" w:hAnsi="Times New Roman"/>
          <w:spacing w:val="-3"/>
          <w:sz w:val="22"/>
          <w:szCs w:val="22"/>
        </w:rPr>
        <w:t xml:space="preserve"> invest</w:t>
      </w:r>
      <w:r w:rsidR="00087DD1" w:rsidRPr="00A249E4">
        <w:rPr>
          <w:rFonts w:ascii="Times New Roman" w:hAnsi="Times New Roman"/>
          <w:spacing w:val="-3"/>
          <w:sz w:val="22"/>
          <w:szCs w:val="22"/>
        </w:rPr>
        <w:t>s</w:t>
      </w:r>
      <w:r w:rsidR="00401352" w:rsidRPr="00A249E4">
        <w:rPr>
          <w:rFonts w:ascii="Times New Roman" w:hAnsi="Times New Roman"/>
          <w:spacing w:val="-3"/>
          <w:sz w:val="22"/>
          <w:szCs w:val="22"/>
        </w:rPr>
        <w:t xml:space="preserve"> the proceeds in </w:t>
      </w:r>
      <w:r w:rsidRPr="00A249E4">
        <w:rPr>
          <w:rFonts w:ascii="Times New Roman" w:hAnsi="Times New Roman"/>
          <w:spacing w:val="-3"/>
          <w:sz w:val="22"/>
          <w:szCs w:val="22"/>
        </w:rPr>
        <w:t>a</w:t>
      </w:r>
      <w:r w:rsidR="00D87FFD" w:rsidRPr="00A249E4">
        <w:rPr>
          <w:rFonts w:ascii="Times New Roman" w:hAnsi="Times New Roman"/>
          <w:spacing w:val="-3"/>
          <w:sz w:val="22"/>
          <w:szCs w:val="22"/>
        </w:rPr>
        <w:t xml:space="preserve"> new</w:t>
      </w:r>
      <w:r w:rsidRPr="00A249E4">
        <w:rPr>
          <w:rFonts w:ascii="Times New Roman" w:hAnsi="Times New Roman"/>
          <w:spacing w:val="-3"/>
          <w:sz w:val="22"/>
          <w:szCs w:val="22"/>
        </w:rPr>
        <w:t xml:space="preserve"> 1</w:t>
      </w:r>
      <w:r w:rsidR="00401352" w:rsidRPr="00A249E4">
        <w:rPr>
          <w:rFonts w:ascii="Times New Roman" w:hAnsi="Times New Roman"/>
          <w:spacing w:val="-3"/>
          <w:sz w:val="22"/>
          <w:szCs w:val="22"/>
        </w:rPr>
        <w:t>0-year</w:t>
      </w:r>
      <w:r w:rsidRPr="00A249E4">
        <w:rPr>
          <w:rFonts w:ascii="Times New Roman" w:hAnsi="Times New Roman"/>
          <w:spacing w:val="-3"/>
          <w:sz w:val="22"/>
          <w:szCs w:val="22"/>
        </w:rPr>
        <w:t xml:space="preserve"> bond of the same credit quality</w:t>
      </w:r>
      <w:r w:rsidR="00401352" w:rsidRPr="00A249E4">
        <w:rPr>
          <w:rFonts w:ascii="Times New Roman" w:hAnsi="Times New Roman"/>
          <w:spacing w:val="-3"/>
          <w:sz w:val="22"/>
          <w:szCs w:val="22"/>
        </w:rPr>
        <w:t xml:space="preserve"> with a coupon rate of 2%</w:t>
      </w:r>
      <w:r w:rsidR="002E4302" w:rsidRPr="00A249E4">
        <w:rPr>
          <w:rFonts w:ascii="Times New Roman" w:hAnsi="Times New Roman"/>
          <w:spacing w:val="-3"/>
          <w:sz w:val="22"/>
          <w:szCs w:val="22"/>
        </w:rPr>
        <w:t>. P</w:t>
      </w:r>
      <w:r w:rsidR="00401352" w:rsidRPr="00A249E4">
        <w:rPr>
          <w:rFonts w:ascii="Times New Roman" w:hAnsi="Times New Roman"/>
          <w:spacing w:val="-3"/>
          <w:sz w:val="22"/>
          <w:szCs w:val="22"/>
        </w:rPr>
        <w:t>ar</w:t>
      </w:r>
      <w:r w:rsidR="00655F5C" w:rsidRPr="00A249E4">
        <w:rPr>
          <w:rFonts w:ascii="Times New Roman" w:hAnsi="Times New Roman"/>
          <w:spacing w:val="-3"/>
          <w:sz w:val="22"/>
          <w:szCs w:val="22"/>
        </w:rPr>
        <w:t xml:space="preserve"> value</w:t>
      </w:r>
      <w:r w:rsidR="00401352" w:rsidRPr="00A249E4">
        <w:rPr>
          <w:rFonts w:ascii="Times New Roman" w:hAnsi="Times New Roman"/>
          <w:spacing w:val="-3"/>
          <w:sz w:val="22"/>
          <w:szCs w:val="22"/>
        </w:rPr>
        <w:t xml:space="preserve"> would now be $118</w:t>
      </w:r>
      <w:r w:rsidRPr="00A249E4">
        <w:rPr>
          <w:rFonts w:ascii="Times New Roman" w:hAnsi="Times New Roman"/>
          <w:spacing w:val="-3"/>
          <w:sz w:val="22"/>
          <w:szCs w:val="22"/>
        </w:rPr>
        <w:t>.</w:t>
      </w:r>
      <w:r w:rsidR="00B24ECF">
        <w:rPr>
          <w:rFonts w:ascii="Times New Roman" w:hAnsi="Times New Roman"/>
          <w:spacing w:val="-3"/>
          <w:sz w:val="22"/>
          <w:szCs w:val="22"/>
        </w:rPr>
        <w:t xml:space="preserve"> </w:t>
      </w:r>
      <w:r w:rsidRPr="00A249E4">
        <w:rPr>
          <w:rFonts w:ascii="Times New Roman" w:hAnsi="Times New Roman"/>
          <w:spacing w:val="-3"/>
          <w:sz w:val="22"/>
          <w:szCs w:val="22"/>
        </w:rPr>
        <w:t xml:space="preserve">Company </w:t>
      </w:r>
      <w:r w:rsidR="007C4632" w:rsidRPr="00A249E4">
        <w:rPr>
          <w:rFonts w:ascii="Times New Roman" w:hAnsi="Times New Roman"/>
          <w:spacing w:val="-3"/>
          <w:sz w:val="22"/>
          <w:szCs w:val="22"/>
        </w:rPr>
        <w:t xml:space="preserve">XYZ’s </w:t>
      </w:r>
      <w:r w:rsidRPr="00A249E4">
        <w:rPr>
          <w:rFonts w:ascii="Times New Roman" w:hAnsi="Times New Roman"/>
          <w:spacing w:val="-3"/>
          <w:sz w:val="22"/>
          <w:szCs w:val="22"/>
        </w:rPr>
        <w:t>balance sheet</w:t>
      </w:r>
      <w:r w:rsidR="00315530" w:rsidRPr="00A249E4">
        <w:rPr>
          <w:rFonts w:ascii="Times New Roman" w:hAnsi="Times New Roman"/>
          <w:spacing w:val="-3"/>
          <w:sz w:val="22"/>
          <w:szCs w:val="22"/>
        </w:rPr>
        <w:t>, without the Interest Maintenance Reserve concept</w:t>
      </w:r>
      <w:r w:rsidR="003A1395" w:rsidRPr="00A249E4">
        <w:rPr>
          <w:rFonts w:ascii="Times New Roman" w:hAnsi="Times New Roman"/>
          <w:spacing w:val="-3"/>
          <w:sz w:val="22"/>
          <w:szCs w:val="22"/>
        </w:rPr>
        <w:t xml:space="preserve"> (or performing asset adequacy an</w:t>
      </w:r>
      <w:r w:rsidR="00AD47C4" w:rsidRPr="00A249E4">
        <w:rPr>
          <w:rFonts w:ascii="Times New Roman" w:hAnsi="Times New Roman"/>
          <w:spacing w:val="-3"/>
          <w:sz w:val="22"/>
          <w:szCs w:val="22"/>
        </w:rPr>
        <w:t>alysis)</w:t>
      </w:r>
      <w:r w:rsidR="00315530" w:rsidRPr="00A249E4">
        <w:rPr>
          <w:rFonts w:ascii="Times New Roman" w:hAnsi="Times New Roman"/>
          <w:spacing w:val="-3"/>
          <w:sz w:val="22"/>
          <w:szCs w:val="22"/>
        </w:rPr>
        <w:t>,</w:t>
      </w:r>
      <w:r w:rsidR="00244022" w:rsidRPr="00A249E4">
        <w:rPr>
          <w:rFonts w:ascii="Times New Roman" w:hAnsi="Times New Roman"/>
          <w:spacing w:val="-3"/>
          <w:sz w:val="22"/>
          <w:szCs w:val="22"/>
        </w:rPr>
        <w:t xml:space="preserve"> </w:t>
      </w:r>
      <w:r w:rsidRPr="00A249E4">
        <w:rPr>
          <w:rFonts w:ascii="Times New Roman" w:hAnsi="Times New Roman"/>
          <w:spacing w:val="-3"/>
          <w:sz w:val="22"/>
          <w:szCs w:val="22"/>
        </w:rPr>
        <w:t xml:space="preserve">would now look like </w:t>
      </w:r>
      <w:r w:rsidR="00002543" w:rsidRPr="00A249E4">
        <w:rPr>
          <w:rFonts w:ascii="Times New Roman" w:hAnsi="Times New Roman"/>
          <w:spacing w:val="-3"/>
          <w:sz w:val="22"/>
          <w:szCs w:val="22"/>
        </w:rPr>
        <w:t>Figure B</w:t>
      </w:r>
      <w:r w:rsidRPr="00A249E4">
        <w:rPr>
          <w:rFonts w:ascii="Times New Roman" w:hAnsi="Times New Roman"/>
          <w:spacing w:val="-3"/>
          <w:sz w:val="22"/>
          <w:szCs w:val="22"/>
        </w:rPr>
        <w:t>.</w:t>
      </w:r>
    </w:p>
    <w:p w14:paraId="76655D9E" w14:textId="29C55FD3" w:rsidR="004107A3" w:rsidRPr="00A249E4" w:rsidRDefault="004107A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bl>
      <w:tblPr>
        <w:tblStyle w:val="TableGrid"/>
        <w:tblW w:w="0" w:type="auto"/>
        <w:tblLook w:val="04A0" w:firstRow="1" w:lastRow="0" w:firstColumn="1" w:lastColumn="0" w:noHBand="0" w:noVBand="1"/>
      </w:tblPr>
      <w:tblGrid>
        <w:gridCol w:w="4675"/>
        <w:gridCol w:w="4675"/>
      </w:tblGrid>
      <w:tr w:rsidR="00B4537B" w:rsidRPr="00A249E4" w14:paraId="5C4B97AF" w14:textId="77777777" w:rsidTr="00F23DBC">
        <w:tc>
          <w:tcPr>
            <w:tcW w:w="9350" w:type="dxa"/>
            <w:gridSpan w:val="2"/>
          </w:tcPr>
          <w:p w14:paraId="261705F0" w14:textId="53BAC491" w:rsidR="00B4537B" w:rsidRPr="00A249E4" w:rsidRDefault="00DF3BC4"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Figure </w:t>
            </w:r>
            <w:r w:rsidR="00B4537B" w:rsidRPr="00A249E4">
              <w:rPr>
                <w:rFonts w:ascii="Times New Roman" w:hAnsi="Times New Roman"/>
                <w:spacing w:val="-3"/>
                <w:sz w:val="22"/>
                <w:szCs w:val="22"/>
              </w:rPr>
              <w:t>B</w:t>
            </w:r>
          </w:p>
        </w:tc>
      </w:tr>
      <w:tr w:rsidR="00B4537B" w:rsidRPr="00A249E4" w14:paraId="52DEA1C1" w14:textId="77777777" w:rsidTr="00F23DBC">
        <w:tc>
          <w:tcPr>
            <w:tcW w:w="4675" w:type="dxa"/>
          </w:tcPr>
          <w:p w14:paraId="5B070A0F" w14:textId="77777777" w:rsidR="00B4537B" w:rsidRPr="00A249E4" w:rsidRDefault="00B4537B"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Assets</w:t>
            </w:r>
          </w:p>
        </w:tc>
        <w:tc>
          <w:tcPr>
            <w:tcW w:w="4675" w:type="dxa"/>
          </w:tcPr>
          <w:p w14:paraId="3819DA76" w14:textId="77777777" w:rsidR="00B4537B" w:rsidRPr="00A249E4" w:rsidRDefault="00B4537B"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Liabilities and Surplus</w:t>
            </w:r>
          </w:p>
        </w:tc>
      </w:tr>
      <w:tr w:rsidR="00B4537B" w:rsidRPr="00A249E4" w14:paraId="0C85BE67" w14:textId="77777777" w:rsidTr="00F23DBC">
        <w:tc>
          <w:tcPr>
            <w:tcW w:w="4675" w:type="dxa"/>
          </w:tcPr>
          <w:p w14:paraId="3B000866" w14:textId="4C59C6F4" w:rsidR="00B4537B" w:rsidRPr="00A249E4" w:rsidRDefault="00B4537B"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Bonds                        118             </w:t>
            </w:r>
          </w:p>
          <w:p w14:paraId="0B4EF59E" w14:textId="77777777" w:rsidR="00B4537B" w:rsidRPr="00A249E4" w:rsidRDefault="00B4537B"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Equities                    </w:t>
            </w:r>
            <w:r w:rsidRPr="00A249E4">
              <w:rPr>
                <w:rFonts w:ascii="Times New Roman" w:hAnsi="Times New Roman"/>
                <w:spacing w:val="-3"/>
                <w:sz w:val="22"/>
                <w:szCs w:val="22"/>
                <w:u w:val="single"/>
              </w:rPr>
              <w:t xml:space="preserve">   10</w:t>
            </w:r>
          </w:p>
          <w:p w14:paraId="6F316997" w14:textId="59BCF0CE" w:rsidR="00B4537B" w:rsidRPr="00A249E4" w:rsidRDefault="00B4537B"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   Total Assets          </w:t>
            </w:r>
            <w:r w:rsidRPr="00A249E4">
              <w:rPr>
                <w:rFonts w:ascii="Times New Roman" w:hAnsi="Times New Roman"/>
                <w:spacing w:val="-3"/>
                <w:sz w:val="22"/>
                <w:szCs w:val="22"/>
                <w:u w:val="double"/>
              </w:rPr>
              <w:t xml:space="preserve"> 128</w:t>
            </w:r>
            <w:r w:rsidRPr="00A249E4">
              <w:rPr>
                <w:rFonts w:ascii="Times New Roman" w:hAnsi="Times New Roman"/>
                <w:spacing w:val="-3"/>
                <w:sz w:val="22"/>
                <w:szCs w:val="22"/>
              </w:rPr>
              <w:t xml:space="preserve"> </w:t>
            </w:r>
          </w:p>
          <w:p w14:paraId="55ACB2BA" w14:textId="77777777" w:rsidR="00B4537B" w:rsidRPr="00A249E4" w:rsidRDefault="00B4537B"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c>
        <w:tc>
          <w:tcPr>
            <w:tcW w:w="4675" w:type="dxa"/>
          </w:tcPr>
          <w:p w14:paraId="15F249BC" w14:textId="77777777" w:rsidR="00B4537B" w:rsidRPr="00A249E4" w:rsidRDefault="00B4537B"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Insurance liability                   100</w:t>
            </w:r>
          </w:p>
          <w:p w14:paraId="0B036779" w14:textId="260E1FA5" w:rsidR="00B4537B" w:rsidRPr="00A249E4" w:rsidRDefault="00B4537B"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rPr>
              <w:t xml:space="preserve">Surplus                                    </w:t>
            </w:r>
            <w:r w:rsidRPr="00A249E4">
              <w:rPr>
                <w:rFonts w:ascii="Times New Roman" w:hAnsi="Times New Roman"/>
                <w:spacing w:val="-3"/>
                <w:sz w:val="22"/>
                <w:szCs w:val="22"/>
                <w:u w:val="single"/>
              </w:rPr>
              <w:t xml:space="preserve">  28</w:t>
            </w:r>
          </w:p>
          <w:p w14:paraId="1CA54CF3" w14:textId="265027F6" w:rsidR="00B4537B" w:rsidRPr="00A249E4" w:rsidRDefault="00B4537B"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   Liabilities &amp; Surplus           </w:t>
            </w:r>
            <w:r w:rsidRPr="00A249E4">
              <w:rPr>
                <w:rFonts w:ascii="Times New Roman" w:hAnsi="Times New Roman"/>
                <w:spacing w:val="-3"/>
                <w:sz w:val="22"/>
                <w:szCs w:val="22"/>
                <w:u w:val="double"/>
              </w:rPr>
              <w:t>128</w:t>
            </w:r>
          </w:p>
        </w:tc>
      </w:tr>
    </w:tbl>
    <w:p w14:paraId="13F9EB03" w14:textId="6C19DB3C" w:rsidR="004107A3" w:rsidRPr="00A249E4" w:rsidRDefault="004107A3"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36FC88F4" w14:textId="5A085C06" w:rsidR="00B4537B" w:rsidRPr="00A249E4" w:rsidRDefault="007C4632"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Without </w:t>
      </w:r>
      <w:r w:rsidR="00315530" w:rsidRPr="00A249E4">
        <w:rPr>
          <w:rFonts w:ascii="Times New Roman" w:hAnsi="Times New Roman"/>
          <w:spacing w:val="-3"/>
          <w:sz w:val="22"/>
          <w:szCs w:val="22"/>
        </w:rPr>
        <w:t>IMR</w:t>
      </w:r>
      <w:r w:rsidRPr="00A249E4">
        <w:rPr>
          <w:rFonts w:ascii="Times New Roman" w:hAnsi="Times New Roman"/>
          <w:spacing w:val="-3"/>
          <w:sz w:val="22"/>
          <w:szCs w:val="22"/>
        </w:rPr>
        <w:t xml:space="preserve">, </w:t>
      </w:r>
      <w:r w:rsidR="00B4537B" w:rsidRPr="00A249E4">
        <w:rPr>
          <w:rFonts w:ascii="Times New Roman" w:hAnsi="Times New Roman"/>
          <w:spacing w:val="-3"/>
          <w:sz w:val="22"/>
          <w:szCs w:val="22"/>
        </w:rPr>
        <w:t xml:space="preserve">Company </w:t>
      </w:r>
      <w:r w:rsidRPr="00A249E4">
        <w:rPr>
          <w:rFonts w:ascii="Times New Roman" w:hAnsi="Times New Roman"/>
          <w:spacing w:val="-3"/>
          <w:sz w:val="22"/>
          <w:szCs w:val="22"/>
        </w:rPr>
        <w:t xml:space="preserve">XYZ’s </w:t>
      </w:r>
      <w:r w:rsidR="00B4537B" w:rsidRPr="00A249E4">
        <w:rPr>
          <w:rFonts w:ascii="Times New Roman" w:hAnsi="Times New Roman"/>
          <w:spacing w:val="-3"/>
          <w:sz w:val="22"/>
          <w:szCs w:val="22"/>
        </w:rPr>
        <w:t xml:space="preserve">balance sheet shows </w:t>
      </w:r>
      <w:r w:rsidR="00DF3BC4" w:rsidRPr="00A249E4">
        <w:rPr>
          <w:rFonts w:ascii="Times New Roman" w:hAnsi="Times New Roman"/>
          <w:spacing w:val="-3"/>
          <w:sz w:val="22"/>
          <w:szCs w:val="22"/>
        </w:rPr>
        <w:t xml:space="preserve">an illusory </w:t>
      </w:r>
      <w:r w:rsidR="00B4537B" w:rsidRPr="00A249E4">
        <w:rPr>
          <w:rFonts w:ascii="Times New Roman" w:hAnsi="Times New Roman"/>
          <w:spacing w:val="-3"/>
          <w:sz w:val="22"/>
          <w:szCs w:val="22"/>
        </w:rPr>
        <w:t>increase</w:t>
      </w:r>
      <w:r w:rsidR="00DF3BC4" w:rsidRPr="00A249E4">
        <w:rPr>
          <w:rFonts w:ascii="Times New Roman" w:hAnsi="Times New Roman"/>
          <w:spacing w:val="-3"/>
          <w:sz w:val="22"/>
          <w:szCs w:val="22"/>
        </w:rPr>
        <w:t xml:space="preserve"> in surplus as </w:t>
      </w:r>
      <w:r w:rsidR="007E7017" w:rsidRPr="00A249E4">
        <w:rPr>
          <w:rFonts w:ascii="Times New Roman" w:hAnsi="Times New Roman"/>
          <w:spacing w:val="-3"/>
          <w:sz w:val="22"/>
          <w:szCs w:val="22"/>
        </w:rPr>
        <w:t xml:space="preserve">the </w:t>
      </w:r>
      <w:r w:rsidR="00401352" w:rsidRPr="00A249E4">
        <w:rPr>
          <w:rFonts w:ascii="Times New Roman" w:hAnsi="Times New Roman"/>
          <w:spacing w:val="-3"/>
          <w:sz w:val="22"/>
          <w:szCs w:val="22"/>
        </w:rPr>
        <w:t>bond</w:t>
      </w:r>
      <w:r w:rsidR="007E7017" w:rsidRPr="00A249E4">
        <w:rPr>
          <w:rFonts w:ascii="Times New Roman" w:hAnsi="Times New Roman"/>
          <w:spacing w:val="-3"/>
          <w:sz w:val="22"/>
          <w:szCs w:val="22"/>
        </w:rPr>
        <w:t xml:space="preserve"> has</w:t>
      </w:r>
      <w:r w:rsidR="00401352" w:rsidRPr="00A249E4">
        <w:rPr>
          <w:rFonts w:ascii="Times New Roman" w:hAnsi="Times New Roman"/>
          <w:spacing w:val="-3"/>
          <w:sz w:val="22"/>
          <w:szCs w:val="22"/>
        </w:rPr>
        <w:t xml:space="preserve"> essentially been marked to market at $118 but the insurance liabilit</w:t>
      </w:r>
      <w:r w:rsidR="00170C39" w:rsidRPr="00A249E4">
        <w:rPr>
          <w:rFonts w:ascii="Times New Roman" w:hAnsi="Times New Roman"/>
          <w:spacing w:val="-3"/>
          <w:sz w:val="22"/>
          <w:szCs w:val="22"/>
        </w:rPr>
        <w:t xml:space="preserve">y is </w:t>
      </w:r>
      <w:r w:rsidR="00DF3BC4" w:rsidRPr="00A249E4">
        <w:rPr>
          <w:rFonts w:ascii="Times New Roman" w:hAnsi="Times New Roman"/>
          <w:spacing w:val="-3"/>
          <w:sz w:val="22"/>
          <w:szCs w:val="22"/>
        </w:rPr>
        <w:t>unchanged</w:t>
      </w:r>
      <w:r w:rsidR="00401352" w:rsidRPr="00A249E4">
        <w:rPr>
          <w:rFonts w:ascii="Times New Roman" w:hAnsi="Times New Roman"/>
          <w:spacing w:val="-3"/>
          <w:sz w:val="22"/>
          <w:szCs w:val="22"/>
        </w:rPr>
        <w:t>.</w:t>
      </w:r>
      <w:r w:rsidR="00B24ECF">
        <w:rPr>
          <w:rFonts w:ascii="Times New Roman" w:hAnsi="Times New Roman"/>
          <w:spacing w:val="-3"/>
          <w:sz w:val="22"/>
          <w:szCs w:val="22"/>
        </w:rPr>
        <w:t xml:space="preserve"> </w:t>
      </w:r>
      <w:r w:rsidR="00DF3BC4" w:rsidRPr="00A249E4">
        <w:rPr>
          <w:rFonts w:ascii="Times New Roman" w:hAnsi="Times New Roman"/>
          <w:spacing w:val="-3"/>
          <w:sz w:val="22"/>
          <w:szCs w:val="22"/>
        </w:rPr>
        <w:t>The bond’s coupon payments are now insufficient to meet policyholder obligations, and t</w:t>
      </w:r>
      <w:r w:rsidR="00401352" w:rsidRPr="00A249E4">
        <w:rPr>
          <w:rFonts w:ascii="Times New Roman" w:hAnsi="Times New Roman"/>
          <w:spacing w:val="-3"/>
          <w:sz w:val="22"/>
          <w:szCs w:val="22"/>
        </w:rPr>
        <w:t xml:space="preserve">he company </w:t>
      </w:r>
      <w:r w:rsidR="00C711F0" w:rsidRPr="00A249E4">
        <w:rPr>
          <w:rFonts w:ascii="Times New Roman" w:hAnsi="Times New Roman"/>
          <w:spacing w:val="-3"/>
          <w:sz w:val="22"/>
          <w:szCs w:val="22"/>
        </w:rPr>
        <w:t xml:space="preserve">may </w:t>
      </w:r>
      <w:r w:rsidR="00401352" w:rsidRPr="00A249E4">
        <w:rPr>
          <w:rFonts w:ascii="Times New Roman" w:hAnsi="Times New Roman"/>
          <w:spacing w:val="-3"/>
          <w:sz w:val="22"/>
          <w:szCs w:val="22"/>
        </w:rPr>
        <w:t>have to sell a portion</w:t>
      </w:r>
      <w:r w:rsidR="00C711F0" w:rsidRPr="00A249E4">
        <w:rPr>
          <w:rFonts w:ascii="Times New Roman" w:hAnsi="Times New Roman"/>
          <w:spacing w:val="-3"/>
          <w:sz w:val="22"/>
          <w:szCs w:val="22"/>
        </w:rPr>
        <w:t xml:space="preserve"> </w:t>
      </w:r>
      <w:r w:rsidR="00401352" w:rsidRPr="00A249E4">
        <w:rPr>
          <w:rFonts w:ascii="Times New Roman" w:hAnsi="Times New Roman"/>
          <w:spacing w:val="-3"/>
          <w:sz w:val="22"/>
          <w:szCs w:val="22"/>
        </w:rPr>
        <w:t>of the bond every year to meet its yearly obligation.</w:t>
      </w:r>
    </w:p>
    <w:p w14:paraId="21295B5A" w14:textId="4AA24D42" w:rsidR="00401352" w:rsidRPr="00A249E4" w:rsidRDefault="00401352"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7D5A1E6A" w14:textId="53CB5D18" w:rsidR="00401352" w:rsidRPr="00A249E4" w:rsidRDefault="00170C39"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To further</w:t>
      </w:r>
      <w:r w:rsidR="004249AE" w:rsidRPr="00A249E4">
        <w:rPr>
          <w:rFonts w:ascii="Times New Roman" w:hAnsi="Times New Roman"/>
          <w:spacing w:val="-3"/>
          <w:sz w:val="22"/>
          <w:szCs w:val="22"/>
        </w:rPr>
        <w:t xml:space="preserve"> illustrat</w:t>
      </w:r>
      <w:r w:rsidRPr="00A249E4">
        <w:rPr>
          <w:rFonts w:ascii="Times New Roman" w:hAnsi="Times New Roman"/>
          <w:spacing w:val="-3"/>
          <w:sz w:val="22"/>
          <w:szCs w:val="22"/>
        </w:rPr>
        <w:t>e</w:t>
      </w:r>
      <w:r w:rsidR="004249AE" w:rsidRPr="00A249E4">
        <w:rPr>
          <w:rFonts w:ascii="Times New Roman" w:hAnsi="Times New Roman"/>
          <w:spacing w:val="-3"/>
          <w:sz w:val="22"/>
          <w:szCs w:val="22"/>
        </w:rPr>
        <w:t xml:space="preserve"> the </w:t>
      </w:r>
      <w:r w:rsidR="00C711F0" w:rsidRPr="00A249E4">
        <w:rPr>
          <w:rFonts w:ascii="Times New Roman" w:hAnsi="Times New Roman"/>
          <w:spacing w:val="-3"/>
          <w:sz w:val="22"/>
          <w:szCs w:val="22"/>
        </w:rPr>
        <w:t xml:space="preserve">solvency </w:t>
      </w:r>
      <w:r w:rsidR="004249AE" w:rsidRPr="00A249E4">
        <w:rPr>
          <w:rFonts w:ascii="Times New Roman" w:hAnsi="Times New Roman"/>
          <w:spacing w:val="-3"/>
          <w:sz w:val="22"/>
          <w:szCs w:val="22"/>
        </w:rPr>
        <w:t>distortion</w:t>
      </w:r>
      <w:r w:rsidR="0001347A" w:rsidRPr="00A249E4">
        <w:rPr>
          <w:rFonts w:ascii="Times New Roman" w:hAnsi="Times New Roman"/>
          <w:spacing w:val="-3"/>
          <w:sz w:val="22"/>
          <w:szCs w:val="22"/>
        </w:rPr>
        <w:t xml:space="preserve"> absent the IMR</w:t>
      </w:r>
      <w:r w:rsidR="00DF3BC4" w:rsidRPr="00A249E4">
        <w:rPr>
          <w:rFonts w:ascii="Times New Roman" w:hAnsi="Times New Roman"/>
          <w:spacing w:val="-3"/>
          <w:sz w:val="22"/>
          <w:szCs w:val="22"/>
        </w:rPr>
        <w:t>,</w:t>
      </w:r>
      <w:r w:rsidR="00CE0B3C" w:rsidRPr="00A249E4">
        <w:rPr>
          <w:rFonts w:ascii="Times New Roman" w:hAnsi="Times New Roman"/>
          <w:spacing w:val="-3"/>
          <w:sz w:val="22"/>
          <w:szCs w:val="22"/>
        </w:rPr>
        <w:t xml:space="preserve"> </w:t>
      </w:r>
      <w:r w:rsidR="0001347A" w:rsidRPr="00A249E4">
        <w:rPr>
          <w:rFonts w:ascii="Times New Roman" w:hAnsi="Times New Roman"/>
          <w:spacing w:val="-3"/>
          <w:sz w:val="22"/>
          <w:szCs w:val="22"/>
        </w:rPr>
        <w:t xml:space="preserve">assume </w:t>
      </w:r>
      <w:r w:rsidR="00401352" w:rsidRPr="00A249E4">
        <w:rPr>
          <w:rFonts w:ascii="Times New Roman" w:hAnsi="Times New Roman"/>
          <w:spacing w:val="-3"/>
          <w:sz w:val="22"/>
          <w:szCs w:val="22"/>
        </w:rPr>
        <w:t xml:space="preserve">Company </w:t>
      </w:r>
      <w:r w:rsidR="0001347A" w:rsidRPr="00A249E4">
        <w:rPr>
          <w:rFonts w:ascii="Times New Roman" w:hAnsi="Times New Roman"/>
          <w:spacing w:val="-3"/>
          <w:sz w:val="22"/>
          <w:szCs w:val="22"/>
        </w:rPr>
        <w:t>XYZ</w:t>
      </w:r>
      <w:r w:rsidR="00401352" w:rsidRPr="00A249E4">
        <w:rPr>
          <w:rFonts w:ascii="Times New Roman" w:hAnsi="Times New Roman"/>
          <w:spacing w:val="-3"/>
          <w:sz w:val="22"/>
          <w:szCs w:val="22"/>
        </w:rPr>
        <w:t xml:space="preserve"> </w:t>
      </w:r>
      <w:r w:rsidR="005332D8" w:rsidRPr="00A249E4">
        <w:rPr>
          <w:rFonts w:ascii="Times New Roman" w:hAnsi="Times New Roman"/>
          <w:spacing w:val="-3"/>
          <w:sz w:val="22"/>
          <w:szCs w:val="22"/>
        </w:rPr>
        <w:t>sell</w:t>
      </w:r>
      <w:r w:rsidR="0001347A" w:rsidRPr="00A249E4">
        <w:rPr>
          <w:rFonts w:ascii="Times New Roman" w:hAnsi="Times New Roman"/>
          <w:spacing w:val="-3"/>
          <w:sz w:val="22"/>
          <w:szCs w:val="22"/>
        </w:rPr>
        <w:t>s</w:t>
      </w:r>
      <w:r w:rsidR="005332D8" w:rsidRPr="00A249E4">
        <w:rPr>
          <w:rFonts w:ascii="Times New Roman" w:hAnsi="Times New Roman"/>
          <w:spacing w:val="-3"/>
          <w:sz w:val="22"/>
          <w:szCs w:val="22"/>
        </w:rPr>
        <w:t xml:space="preserve"> $18 of </w:t>
      </w:r>
      <w:r w:rsidR="0001347A" w:rsidRPr="00A249E4">
        <w:rPr>
          <w:rFonts w:ascii="Times New Roman" w:hAnsi="Times New Roman"/>
          <w:spacing w:val="-3"/>
          <w:sz w:val="22"/>
          <w:szCs w:val="22"/>
        </w:rPr>
        <w:t xml:space="preserve">the </w:t>
      </w:r>
      <w:r w:rsidR="005332D8" w:rsidRPr="00A249E4">
        <w:rPr>
          <w:rFonts w:ascii="Times New Roman" w:hAnsi="Times New Roman"/>
          <w:spacing w:val="-3"/>
          <w:sz w:val="22"/>
          <w:szCs w:val="22"/>
        </w:rPr>
        <w:t>bond</w:t>
      </w:r>
      <w:r w:rsidR="00CF2C40" w:rsidRPr="00A249E4">
        <w:rPr>
          <w:rFonts w:ascii="Times New Roman" w:hAnsi="Times New Roman"/>
          <w:spacing w:val="-3"/>
          <w:sz w:val="22"/>
          <w:szCs w:val="22"/>
        </w:rPr>
        <w:t xml:space="preserve"> and</w:t>
      </w:r>
      <w:r w:rsidR="005332D8" w:rsidRPr="00A249E4">
        <w:rPr>
          <w:rFonts w:ascii="Times New Roman" w:hAnsi="Times New Roman"/>
          <w:spacing w:val="-3"/>
          <w:sz w:val="22"/>
          <w:szCs w:val="22"/>
        </w:rPr>
        <w:t xml:space="preserve"> </w:t>
      </w:r>
      <w:r w:rsidR="00401352" w:rsidRPr="00A249E4">
        <w:rPr>
          <w:rFonts w:ascii="Times New Roman" w:hAnsi="Times New Roman"/>
          <w:spacing w:val="-3"/>
          <w:sz w:val="22"/>
          <w:szCs w:val="22"/>
        </w:rPr>
        <w:t>dividend</w:t>
      </w:r>
      <w:r w:rsidR="0001347A" w:rsidRPr="00A249E4">
        <w:rPr>
          <w:rFonts w:ascii="Times New Roman" w:hAnsi="Times New Roman"/>
          <w:spacing w:val="-3"/>
          <w:sz w:val="22"/>
          <w:szCs w:val="22"/>
        </w:rPr>
        <w:t>s</w:t>
      </w:r>
      <w:r w:rsidR="00401352" w:rsidRPr="00A249E4">
        <w:rPr>
          <w:rFonts w:ascii="Times New Roman" w:hAnsi="Times New Roman"/>
          <w:spacing w:val="-3"/>
          <w:sz w:val="22"/>
          <w:szCs w:val="22"/>
        </w:rPr>
        <w:t xml:space="preserve"> </w:t>
      </w:r>
      <w:r w:rsidR="005332D8" w:rsidRPr="00A249E4">
        <w:rPr>
          <w:rFonts w:ascii="Times New Roman" w:hAnsi="Times New Roman"/>
          <w:spacing w:val="-3"/>
          <w:sz w:val="22"/>
          <w:szCs w:val="22"/>
        </w:rPr>
        <w:t xml:space="preserve">the </w:t>
      </w:r>
      <w:r w:rsidR="00401352" w:rsidRPr="00A249E4">
        <w:rPr>
          <w:rFonts w:ascii="Times New Roman" w:hAnsi="Times New Roman"/>
          <w:spacing w:val="-3"/>
          <w:sz w:val="22"/>
          <w:szCs w:val="22"/>
        </w:rPr>
        <w:t>$18 to its owners</w:t>
      </w:r>
      <w:r w:rsidR="00DF3BC4" w:rsidRPr="00A249E4">
        <w:rPr>
          <w:rFonts w:ascii="Times New Roman" w:hAnsi="Times New Roman"/>
          <w:spacing w:val="-3"/>
          <w:sz w:val="22"/>
          <w:szCs w:val="22"/>
        </w:rPr>
        <w:t>.</w:t>
      </w:r>
      <w:r w:rsidR="00401352" w:rsidRPr="00A249E4">
        <w:rPr>
          <w:rFonts w:ascii="Times New Roman" w:hAnsi="Times New Roman"/>
          <w:spacing w:val="-3"/>
          <w:sz w:val="22"/>
          <w:szCs w:val="22"/>
        </w:rPr>
        <w:t xml:space="preserve"> </w:t>
      </w:r>
      <w:r w:rsidR="00DF3BC4" w:rsidRPr="00A249E4">
        <w:rPr>
          <w:rFonts w:ascii="Times New Roman" w:hAnsi="Times New Roman"/>
          <w:spacing w:val="-3"/>
          <w:sz w:val="22"/>
          <w:szCs w:val="22"/>
        </w:rPr>
        <w:t>I</w:t>
      </w:r>
      <w:r w:rsidR="00401352" w:rsidRPr="00A249E4">
        <w:rPr>
          <w:rFonts w:ascii="Times New Roman" w:hAnsi="Times New Roman"/>
          <w:spacing w:val="-3"/>
          <w:sz w:val="22"/>
          <w:szCs w:val="22"/>
        </w:rPr>
        <w:t xml:space="preserve">ts balance sheet </w:t>
      </w:r>
      <w:r w:rsidR="006A65B5" w:rsidRPr="00A249E4">
        <w:rPr>
          <w:rFonts w:ascii="Times New Roman" w:hAnsi="Times New Roman"/>
          <w:spacing w:val="-3"/>
          <w:sz w:val="22"/>
          <w:szCs w:val="22"/>
        </w:rPr>
        <w:t>in Figure C</w:t>
      </w:r>
      <w:r w:rsidR="00DF3BC4" w:rsidRPr="00A249E4">
        <w:rPr>
          <w:rFonts w:ascii="Times New Roman" w:hAnsi="Times New Roman"/>
          <w:spacing w:val="-3"/>
          <w:sz w:val="22"/>
          <w:szCs w:val="22"/>
        </w:rPr>
        <w:t xml:space="preserve"> would show</w:t>
      </w:r>
      <w:r w:rsidR="005332D8" w:rsidRPr="00A249E4">
        <w:rPr>
          <w:rFonts w:ascii="Times New Roman" w:hAnsi="Times New Roman"/>
          <w:spacing w:val="-3"/>
          <w:sz w:val="22"/>
          <w:szCs w:val="22"/>
        </w:rPr>
        <w:t xml:space="preserve"> </w:t>
      </w:r>
      <w:r w:rsidR="00CE0B3C" w:rsidRPr="00A249E4">
        <w:rPr>
          <w:rFonts w:ascii="Times New Roman" w:hAnsi="Times New Roman"/>
          <w:spacing w:val="-3"/>
          <w:sz w:val="22"/>
          <w:szCs w:val="22"/>
        </w:rPr>
        <w:t xml:space="preserve">the company </w:t>
      </w:r>
      <w:r w:rsidR="005332D8" w:rsidRPr="00A249E4">
        <w:rPr>
          <w:rFonts w:ascii="Times New Roman" w:hAnsi="Times New Roman"/>
          <w:spacing w:val="-3"/>
          <w:sz w:val="22"/>
          <w:szCs w:val="22"/>
        </w:rPr>
        <w:t>still appear</w:t>
      </w:r>
      <w:r w:rsidR="00DF3BC4" w:rsidRPr="00A249E4">
        <w:rPr>
          <w:rFonts w:ascii="Times New Roman" w:hAnsi="Times New Roman"/>
          <w:spacing w:val="-3"/>
          <w:sz w:val="22"/>
          <w:szCs w:val="22"/>
        </w:rPr>
        <w:t>ing</w:t>
      </w:r>
      <w:r w:rsidR="005332D8" w:rsidRPr="00A249E4">
        <w:rPr>
          <w:rFonts w:ascii="Times New Roman" w:hAnsi="Times New Roman"/>
          <w:spacing w:val="-3"/>
          <w:sz w:val="22"/>
          <w:szCs w:val="22"/>
        </w:rPr>
        <w:t xml:space="preserve"> solvent</w:t>
      </w:r>
      <w:r w:rsidR="00401352" w:rsidRPr="00A249E4">
        <w:rPr>
          <w:rFonts w:ascii="Times New Roman" w:hAnsi="Times New Roman"/>
          <w:spacing w:val="-3"/>
          <w:sz w:val="22"/>
          <w:szCs w:val="22"/>
        </w:rPr>
        <w:t>.</w:t>
      </w:r>
    </w:p>
    <w:p w14:paraId="0DD948D5" w14:textId="77777777" w:rsidR="00401352" w:rsidRPr="00A249E4" w:rsidRDefault="00401352"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bl>
      <w:tblPr>
        <w:tblStyle w:val="TableGrid"/>
        <w:tblW w:w="0" w:type="auto"/>
        <w:tblLook w:val="04A0" w:firstRow="1" w:lastRow="0" w:firstColumn="1" w:lastColumn="0" w:noHBand="0" w:noVBand="1"/>
      </w:tblPr>
      <w:tblGrid>
        <w:gridCol w:w="4675"/>
        <w:gridCol w:w="4675"/>
      </w:tblGrid>
      <w:tr w:rsidR="00401352" w:rsidRPr="00A249E4" w14:paraId="1E0B350A" w14:textId="77777777" w:rsidTr="00F23DBC">
        <w:tc>
          <w:tcPr>
            <w:tcW w:w="9350" w:type="dxa"/>
            <w:gridSpan w:val="2"/>
          </w:tcPr>
          <w:p w14:paraId="63CBD730" w14:textId="3BBF4B25" w:rsidR="00401352" w:rsidRPr="00A249E4" w:rsidRDefault="00DF3BC4"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Figure </w:t>
            </w:r>
            <w:r w:rsidR="00CF2C40" w:rsidRPr="00A249E4">
              <w:rPr>
                <w:rFonts w:ascii="Times New Roman" w:hAnsi="Times New Roman"/>
                <w:spacing w:val="-3"/>
                <w:sz w:val="22"/>
                <w:szCs w:val="22"/>
              </w:rPr>
              <w:t>C</w:t>
            </w:r>
          </w:p>
        </w:tc>
      </w:tr>
      <w:tr w:rsidR="00401352" w:rsidRPr="00A249E4" w14:paraId="0C8B2AEF" w14:textId="77777777" w:rsidTr="00F23DBC">
        <w:tc>
          <w:tcPr>
            <w:tcW w:w="4675" w:type="dxa"/>
          </w:tcPr>
          <w:p w14:paraId="2EFE89FD" w14:textId="77777777" w:rsidR="00401352" w:rsidRPr="00A249E4" w:rsidRDefault="00401352"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Assets</w:t>
            </w:r>
          </w:p>
        </w:tc>
        <w:tc>
          <w:tcPr>
            <w:tcW w:w="4675" w:type="dxa"/>
          </w:tcPr>
          <w:p w14:paraId="76008214" w14:textId="77777777" w:rsidR="00401352" w:rsidRPr="00A249E4" w:rsidRDefault="00401352"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Liabilities and Surplus</w:t>
            </w:r>
          </w:p>
        </w:tc>
      </w:tr>
      <w:tr w:rsidR="00401352" w:rsidRPr="00A249E4" w14:paraId="02EF96A4" w14:textId="77777777" w:rsidTr="00F23DBC">
        <w:tc>
          <w:tcPr>
            <w:tcW w:w="4675" w:type="dxa"/>
          </w:tcPr>
          <w:p w14:paraId="1FC0E52D" w14:textId="6931C50B" w:rsidR="00401352" w:rsidRPr="00A249E4" w:rsidRDefault="00401352"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Bonds                        100             </w:t>
            </w:r>
          </w:p>
          <w:p w14:paraId="4624BD7F" w14:textId="77777777" w:rsidR="00401352" w:rsidRPr="00A249E4" w:rsidRDefault="00401352"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Equities                    </w:t>
            </w:r>
            <w:r w:rsidRPr="00A249E4">
              <w:rPr>
                <w:rFonts w:ascii="Times New Roman" w:hAnsi="Times New Roman"/>
                <w:spacing w:val="-3"/>
                <w:sz w:val="22"/>
                <w:szCs w:val="22"/>
                <w:u w:val="single"/>
              </w:rPr>
              <w:t xml:space="preserve">   10</w:t>
            </w:r>
          </w:p>
          <w:p w14:paraId="0A869C4A" w14:textId="7480FF3E" w:rsidR="00401352" w:rsidRPr="00A249E4" w:rsidRDefault="00401352"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   Total Assets          </w:t>
            </w:r>
            <w:r w:rsidRPr="00A249E4">
              <w:rPr>
                <w:rFonts w:ascii="Times New Roman" w:hAnsi="Times New Roman"/>
                <w:spacing w:val="-3"/>
                <w:sz w:val="22"/>
                <w:szCs w:val="22"/>
                <w:u w:val="double"/>
              </w:rPr>
              <w:t xml:space="preserve"> 110</w:t>
            </w:r>
            <w:r w:rsidRPr="00A249E4">
              <w:rPr>
                <w:rFonts w:ascii="Times New Roman" w:hAnsi="Times New Roman"/>
                <w:spacing w:val="-3"/>
                <w:sz w:val="22"/>
                <w:szCs w:val="22"/>
              </w:rPr>
              <w:t xml:space="preserve"> </w:t>
            </w:r>
          </w:p>
          <w:p w14:paraId="69266C9E" w14:textId="77777777" w:rsidR="00401352" w:rsidRPr="00A249E4" w:rsidRDefault="00401352"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c>
        <w:tc>
          <w:tcPr>
            <w:tcW w:w="4675" w:type="dxa"/>
          </w:tcPr>
          <w:p w14:paraId="654BA152" w14:textId="77777777" w:rsidR="00401352" w:rsidRPr="00A249E4" w:rsidRDefault="00401352"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Insurance liability                   100</w:t>
            </w:r>
          </w:p>
          <w:p w14:paraId="2178B10B" w14:textId="3C0AE189" w:rsidR="00401352" w:rsidRPr="00A249E4" w:rsidRDefault="00401352"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rPr>
              <w:t xml:space="preserve">Surplus                                    </w:t>
            </w:r>
            <w:r w:rsidRPr="00A249E4">
              <w:rPr>
                <w:rFonts w:ascii="Times New Roman" w:hAnsi="Times New Roman"/>
                <w:spacing w:val="-3"/>
                <w:sz w:val="22"/>
                <w:szCs w:val="22"/>
                <w:u w:val="single"/>
              </w:rPr>
              <w:t xml:space="preserve">  10</w:t>
            </w:r>
          </w:p>
          <w:p w14:paraId="2E2CACD8" w14:textId="7217F3B4" w:rsidR="00401352" w:rsidRPr="00A249E4" w:rsidRDefault="00401352"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   Liabilities &amp; Surplus           </w:t>
            </w:r>
            <w:r w:rsidRPr="00A249E4">
              <w:rPr>
                <w:rFonts w:ascii="Times New Roman" w:hAnsi="Times New Roman"/>
                <w:spacing w:val="-3"/>
                <w:sz w:val="22"/>
                <w:szCs w:val="22"/>
                <w:u w:val="double"/>
              </w:rPr>
              <w:t>110</w:t>
            </w:r>
          </w:p>
        </w:tc>
      </w:tr>
    </w:tbl>
    <w:p w14:paraId="42C82BF5" w14:textId="77777777" w:rsidR="00401352" w:rsidRPr="00A249E4" w:rsidRDefault="00401352" w:rsidP="00F5296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425492C6" w14:textId="19D67477" w:rsidR="00F52968" w:rsidRPr="00A249E4" w:rsidRDefault="00C711F0" w:rsidP="00401352">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However, </w:t>
      </w:r>
      <w:r w:rsidR="000E6C46" w:rsidRPr="00A249E4">
        <w:rPr>
          <w:rFonts w:ascii="Times New Roman" w:hAnsi="Times New Roman"/>
          <w:spacing w:val="-3"/>
          <w:sz w:val="22"/>
          <w:szCs w:val="22"/>
        </w:rPr>
        <w:t xml:space="preserve">the </w:t>
      </w:r>
      <w:r w:rsidR="00DF3BC4" w:rsidRPr="00A249E4">
        <w:rPr>
          <w:rFonts w:ascii="Times New Roman" w:hAnsi="Times New Roman"/>
          <w:spacing w:val="-3"/>
          <w:sz w:val="22"/>
          <w:szCs w:val="22"/>
        </w:rPr>
        <w:t>total shortfall</w:t>
      </w:r>
      <w:r w:rsidR="009F00BD" w:rsidRPr="00A249E4">
        <w:rPr>
          <w:rFonts w:ascii="Times New Roman" w:hAnsi="Times New Roman"/>
          <w:spacing w:val="-3"/>
          <w:sz w:val="22"/>
          <w:szCs w:val="22"/>
        </w:rPr>
        <w:t xml:space="preserve"> (without adjusting for minor interest effects)</w:t>
      </w:r>
      <w:r w:rsidR="00F6050A" w:rsidRPr="00A249E4">
        <w:rPr>
          <w:rFonts w:ascii="Times New Roman" w:hAnsi="Times New Roman"/>
          <w:spacing w:val="-3"/>
          <w:sz w:val="22"/>
          <w:szCs w:val="22"/>
        </w:rPr>
        <w:t xml:space="preserve"> as the liability runs off</w:t>
      </w:r>
      <w:r w:rsidR="00E437B9" w:rsidRPr="00A249E4">
        <w:rPr>
          <w:rFonts w:ascii="Times New Roman" w:hAnsi="Times New Roman"/>
          <w:spacing w:val="-3"/>
          <w:sz w:val="22"/>
          <w:szCs w:val="22"/>
        </w:rPr>
        <w:t xml:space="preserve"> </w:t>
      </w:r>
      <w:r w:rsidR="00F6050A" w:rsidRPr="00A249E4">
        <w:rPr>
          <w:rFonts w:ascii="Times New Roman" w:hAnsi="Times New Roman"/>
          <w:spacing w:val="-3"/>
          <w:sz w:val="22"/>
          <w:szCs w:val="22"/>
        </w:rPr>
        <w:t>would be:</w:t>
      </w:r>
    </w:p>
    <w:p w14:paraId="3F2603DF" w14:textId="5E06E689" w:rsidR="005332D8" w:rsidRPr="00A249E4" w:rsidRDefault="005332D8" w:rsidP="00D87FFD">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450"/>
        <w:jc w:val="both"/>
        <w:rPr>
          <w:rFonts w:ascii="Times New Roman" w:hAnsi="Times New Roman"/>
          <w:spacing w:val="-3"/>
          <w:sz w:val="22"/>
          <w:szCs w:val="22"/>
        </w:rPr>
      </w:pPr>
      <w:r w:rsidRPr="00A249E4">
        <w:rPr>
          <w:rFonts w:ascii="Times New Roman" w:hAnsi="Times New Roman"/>
          <w:spacing w:val="-3"/>
          <w:sz w:val="22"/>
          <w:szCs w:val="22"/>
        </w:rPr>
        <w:t xml:space="preserve">Total of yearly (40) and final (100) payments owed </w:t>
      </w:r>
      <w:r w:rsidR="002B0584" w:rsidRPr="00A249E4">
        <w:rPr>
          <w:rFonts w:ascii="Times New Roman" w:hAnsi="Times New Roman"/>
          <w:spacing w:val="-3"/>
          <w:sz w:val="22"/>
          <w:szCs w:val="22"/>
        </w:rPr>
        <w:t>policy</w:t>
      </w:r>
      <w:r w:rsidR="002B0584">
        <w:rPr>
          <w:rFonts w:ascii="Times New Roman" w:hAnsi="Times New Roman"/>
          <w:spacing w:val="-3"/>
          <w:sz w:val="22"/>
          <w:szCs w:val="22"/>
        </w:rPr>
        <w:t>holder</w:t>
      </w:r>
      <w:r w:rsidRPr="00A249E4">
        <w:rPr>
          <w:rFonts w:ascii="Times New Roman" w:hAnsi="Times New Roman"/>
          <w:spacing w:val="-3"/>
          <w:sz w:val="22"/>
          <w:szCs w:val="22"/>
        </w:rPr>
        <w:tab/>
      </w:r>
      <w:r w:rsidRPr="00A249E4">
        <w:rPr>
          <w:rFonts w:ascii="Times New Roman" w:hAnsi="Times New Roman"/>
          <w:spacing w:val="-3"/>
          <w:sz w:val="22"/>
          <w:szCs w:val="22"/>
        </w:rPr>
        <w:tab/>
        <w:t>(140)</w:t>
      </w:r>
    </w:p>
    <w:p w14:paraId="014B40EA" w14:textId="49C6F082" w:rsidR="005332D8" w:rsidRPr="00A249E4" w:rsidRDefault="005332D8" w:rsidP="00D87FFD">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450"/>
        <w:jc w:val="both"/>
        <w:rPr>
          <w:rFonts w:ascii="Times New Roman" w:hAnsi="Times New Roman"/>
          <w:spacing w:val="-3"/>
          <w:sz w:val="22"/>
          <w:szCs w:val="22"/>
        </w:rPr>
      </w:pPr>
      <w:r w:rsidRPr="00A249E4">
        <w:rPr>
          <w:rFonts w:ascii="Times New Roman" w:hAnsi="Times New Roman"/>
          <w:spacing w:val="-3"/>
          <w:sz w:val="22"/>
          <w:szCs w:val="22"/>
        </w:rPr>
        <w:t>Total bond interest payments (20) and maturity (100)</w:t>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t xml:space="preserve"> 120</w:t>
      </w:r>
    </w:p>
    <w:p w14:paraId="3797EC97" w14:textId="700583CA" w:rsidR="00401352" w:rsidRPr="00A249E4" w:rsidRDefault="005332D8" w:rsidP="00D87FFD">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450"/>
        <w:jc w:val="both"/>
        <w:rPr>
          <w:rFonts w:ascii="Times New Roman" w:hAnsi="Times New Roman"/>
          <w:spacing w:val="-3"/>
          <w:sz w:val="22"/>
          <w:szCs w:val="22"/>
        </w:rPr>
      </w:pPr>
      <w:r w:rsidRPr="00A249E4">
        <w:rPr>
          <w:rFonts w:ascii="Times New Roman" w:hAnsi="Times New Roman"/>
          <w:spacing w:val="-3"/>
          <w:sz w:val="22"/>
          <w:szCs w:val="22"/>
        </w:rPr>
        <w:t>Total equity sale</w:t>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u w:val="single"/>
        </w:rPr>
        <w:t xml:space="preserve">   10</w:t>
      </w:r>
      <w:r w:rsidRPr="00A249E4">
        <w:rPr>
          <w:rFonts w:ascii="Times New Roman" w:hAnsi="Times New Roman"/>
          <w:spacing w:val="-3"/>
          <w:sz w:val="22"/>
          <w:szCs w:val="22"/>
        </w:rPr>
        <w:tab/>
      </w:r>
    </w:p>
    <w:p w14:paraId="17573A71" w14:textId="2C03934D" w:rsidR="005332D8" w:rsidRPr="00A249E4" w:rsidRDefault="005332D8" w:rsidP="00D87FFD">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450"/>
        <w:jc w:val="both"/>
        <w:rPr>
          <w:rFonts w:ascii="Times New Roman" w:hAnsi="Times New Roman"/>
          <w:spacing w:val="-3"/>
          <w:sz w:val="22"/>
          <w:szCs w:val="22"/>
        </w:rPr>
      </w:pPr>
      <w:r w:rsidRPr="00A249E4">
        <w:rPr>
          <w:rFonts w:ascii="Times New Roman" w:hAnsi="Times New Roman"/>
          <w:spacing w:val="-3"/>
          <w:sz w:val="22"/>
          <w:szCs w:val="22"/>
        </w:rPr>
        <w:t xml:space="preserve">    Total shortfall</w:t>
      </w:r>
      <w:r w:rsidR="00CF2C40" w:rsidRPr="00A249E4">
        <w:rPr>
          <w:rFonts w:ascii="Times New Roman" w:hAnsi="Times New Roman"/>
          <w:spacing w:val="-3"/>
          <w:sz w:val="22"/>
          <w:szCs w:val="22"/>
        </w:rPr>
        <w:t xml:space="preserve"> including sale of surplus assets</w:t>
      </w:r>
      <w:r w:rsidR="00C711F0"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u w:val="double"/>
        </w:rPr>
        <w:t xml:space="preserve"> (10)</w:t>
      </w:r>
    </w:p>
    <w:p w14:paraId="70471F9F" w14:textId="77777777" w:rsidR="00DF3BC4" w:rsidRPr="00A249E4" w:rsidRDefault="00DF3BC4" w:rsidP="00401352">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15389165" w14:textId="3220CABC" w:rsidR="00CF2C40" w:rsidRPr="00A249E4" w:rsidRDefault="00796B68" w:rsidP="00401352">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As discussed earlier, the </w:t>
      </w:r>
      <w:r w:rsidR="00CF2C40" w:rsidRPr="00A249E4">
        <w:rPr>
          <w:rFonts w:ascii="Times New Roman" w:hAnsi="Times New Roman"/>
          <w:spacing w:val="-3"/>
          <w:sz w:val="22"/>
          <w:szCs w:val="22"/>
        </w:rPr>
        <w:t xml:space="preserve">IMR was developed to address the marking to market of assets upon sale, </w:t>
      </w:r>
      <w:r w:rsidR="00CE0B3C" w:rsidRPr="00A249E4">
        <w:rPr>
          <w:rFonts w:ascii="Times New Roman" w:hAnsi="Times New Roman"/>
          <w:spacing w:val="-3"/>
          <w:sz w:val="22"/>
          <w:szCs w:val="22"/>
        </w:rPr>
        <w:t xml:space="preserve">where </w:t>
      </w:r>
      <w:r w:rsidR="00CF2C40" w:rsidRPr="00A249E4">
        <w:rPr>
          <w:rFonts w:ascii="Times New Roman" w:hAnsi="Times New Roman"/>
          <w:spacing w:val="-3"/>
          <w:sz w:val="22"/>
          <w:szCs w:val="22"/>
        </w:rPr>
        <w:t>the liabilities</w:t>
      </w:r>
      <w:r w:rsidR="00CE0B3C" w:rsidRPr="00A249E4">
        <w:rPr>
          <w:rFonts w:ascii="Times New Roman" w:hAnsi="Times New Roman"/>
          <w:spacing w:val="-3"/>
          <w:sz w:val="22"/>
          <w:szCs w:val="22"/>
        </w:rPr>
        <w:t xml:space="preserve"> </w:t>
      </w:r>
      <w:r w:rsidR="00C711F0" w:rsidRPr="00A249E4">
        <w:rPr>
          <w:rFonts w:ascii="Times New Roman" w:hAnsi="Times New Roman"/>
          <w:spacing w:val="-3"/>
          <w:sz w:val="22"/>
          <w:szCs w:val="22"/>
        </w:rPr>
        <w:t>are unchanged</w:t>
      </w:r>
      <w:r w:rsidR="00CF2C40" w:rsidRPr="00A249E4">
        <w:rPr>
          <w:rFonts w:ascii="Times New Roman" w:hAnsi="Times New Roman"/>
          <w:spacing w:val="-3"/>
          <w:sz w:val="22"/>
          <w:szCs w:val="22"/>
        </w:rPr>
        <w:t>, with a</w:t>
      </w:r>
      <w:r w:rsidR="00E45D28" w:rsidRPr="00A249E4">
        <w:rPr>
          <w:rFonts w:ascii="Times New Roman" w:hAnsi="Times New Roman"/>
          <w:spacing w:val="-3"/>
          <w:sz w:val="22"/>
          <w:szCs w:val="22"/>
        </w:rPr>
        <w:t xml:space="preserve"> </w:t>
      </w:r>
      <w:r w:rsidR="00A459F4">
        <w:rPr>
          <w:rFonts w:ascii="Times New Roman" w:hAnsi="Times New Roman"/>
          <w:spacing w:val="-3"/>
          <w:sz w:val="22"/>
          <w:szCs w:val="22"/>
        </w:rPr>
        <w:t>valuation</w:t>
      </w:r>
      <w:r w:rsidR="00E45D28" w:rsidRPr="00A249E4">
        <w:rPr>
          <w:rFonts w:ascii="Times New Roman" w:hAnsi="Times New Roman"/>
          <w:spacing w:val="-3"/>
          <w:sz w:val="22"/>
          <w:szCs w:val="22"/>
        </w:rPr>
        <w:t xml:space="preserve"> adjustment</w:t>
      </w:r>
      <w:r w:rsidR="00CF2C40" w:rsidRPr="00A249E4">
        <w:rPr>
          <w:rFonts w:ascii="Times New Roman" w:hAnsi="Times New Roman"/>
          <w:spacing w:val="-3"/>
          <w:sz w:val="22"/>
          <w:szCs w:val="22"/>
        </w:rPr>
        <w:t xml:space="preserve"> </w:t>
      </w:r>
      <w:r w:rsidR="00C711F0" w:rsidRPr="00A249E4">
        <w:rPr>
          <w:rFonts w:ascii="Times New Roman" w:hAnsi="Times New Roman"/>
          <w:spacing w:val="-3"/>
          <w:sz w:val="22"/>
          <w:szCs w:val="22"/>
        </w:rPr>
        <w:t xml:space="preserve">(IMR) </w:t>
      </w:r>
      <w:r w:rsidR="006975C8">
        <w:rPr>
          <w:rFonts w:ascii="Times New Roman" w:hAnsi="Times New Roman"/>
          <w:spacing w:val="-3"/>
          <w:sz w:val="22"/>
          <w:szCs w:val="22"/>
        </w:rPr>
        <w:t>so that</w:t>
      </w:r>
      <w:r w:rsidR="00CF2C40" w:rsidRPr="00A249E4">
        <w:rPr>
          <w:rFonts w:ascii="Times New Roman" w:hAnsi="Times New Roman"/>
          <w:spacing w:val="-3"/>
          <w:sz w:val="22"/>
          <w:szCs w:val="22"/>
        </w:rPr>
        <w:t xml:space="preserve"> the </w:t>
      </w:r>
      <w:r w:rsidR="006975C8">
        <w:rPr>
          <w:rFonts w:ascii="Times New Roman" w:hAnsi="Times New Roman"/>
          <w:spacing w:val="-3"/>
          <w:sz w:val="22"/>
          <w:szCs w:val="22"/>
        </w:rPr>
        <w:t>S</w:t>
      </w:r>
      <w:r w:rsidR="00CF2C40" w:rsidRPr="00A249E4">
        <w:rPr>
          <w:rFonts w:ascii="Times New Roman" w:hAnsi="Times New Roman"/>
          <w:spacing w:val="-3"/>
          <w:sz w:val="22"/>
          <w:szCs w:val="22"/>
        </w:rPr>
        <w:t xml:space="preserve">tatutory framework </w:t>
      </w:r>
      <w:r w:rsidR="006975C8">
        <w:rPr>
          <w:rFonts w:ascii="Times New Roman" w:hAnsi="Times New Roman"/>
          <w:spacing w:val="-3"/>
          <w:sz w:val="22"/>
          <w:szCs w:val="22"/>
        </w:rPr>
        <w:t>can</w:t>
      </w:r>
      <w:r w:rsidR="00CF2C40" w:rsidRPr="00A249E4">
        <w:rPr>
          <w:rFonts w:ascii="Times New Roman" w:hAnsi="Times New Roman"/>
          <w:spacing w:val="-3"/>
          <w:sz w:val="22"/>
          <w:szCs w:val="22"/>
        </w:rPr>
        <w:t xml:space="preserve"> value both </w:t>
      </w:r>
      <w:r w:rsidR="00CF2C40" w:rsidRPr="00A249E4">
        <w:rPr>
          <w:rFonts w:ascii="Times New Roman" w:hAnsi="Times New Roman"/>
          <w:spacing w:val="-3"/>
          <w:sz w:val="22"/>
          <w:szCs w:val="22"/>
        </w:rPr>
        <w:lastRenderedPageBreak/>
        <w:t>assets and liabilities on a consistent basis.</w:t>
      </w:r>
      <w:r w:rsidR="00B24ECF">
        <w:rPr>
          <w:rFonts w:ascii="Times New Roman" w:hAnsi="Times New Roman"/>
          <w:spacing w:val="-3"/>
          <w:sz w:val="22"/>
          <w:szCs w:val="22"/>
        </w:rPr>
        <w:t xml:space="preserve"> </w:t>
      </w:r>
      <w:r w:rsidR="00CF2C40" w:rsidRPr="00A249E4">
        <w:rPr>
          <w:rFonts w:ascii="Times New Roman" w:hAnsi="Times New Roman"/>
          <w:spacing w:val="-3"/>
          <w:sz w:val="22"/>
          <w:szCs w:val="22"/>
        </w:rPr>
        <w:t xml:space="preserve">With IMR, the inappropriate portrayal of solvency in </w:t>
      </w:r>
      <w:r w:rsidR="00DF3BC4" w:rsidRPr="00A249E4">
        <w:rPr>
          <w:rFonts w:ascii="Times New Roman" w:hAnsi="Times New Roman"/>
          <w:spacing w:val="-3"/>
          <w:sz w:val="22"/>
          <w:szCs w:val="22"/>
        </w:rPr>
        <w:t xml:space="preserve">Figures </w:t>
      </w:r>
      <w:r w:rsidR="00CF2C40" w:rsidRPr="00A249E4">
        <w:rPr>
          <w:rFonts w:ascii="Times New Roman" w:hAnsi="Times New Roman"/>
          <w:spacing w:val="-3"/>
          <w:sz w:val="22"/>
          <w:szCs w:val="22"/>
        </w:rPr>
        <w:t xml:space="preserve">B and C would </w:t>
      </w:r>
      <w:r w:rsidR="001A737C" w:rsidRPr="00A249E4">
        <w:rPr>
          <w:rFonts w:ascii="Times New Roman" w:hAnsi="Times New Roman"/>
          <w:spacing w:val="-3"/>
          <w:sz w:val="22"/>
          <w:szCs w:val="22"/>
        </w:rPr>
        <w:t>not</w:t>
      </w:r>
      <w:r w:rsidR="00CF2C40" w:rsidRPr="00A249E4">
        <w:rPr>
          <w:rFonts w:ascii="Times New Roman" w:hAnsi="Times New Roman"/>
          <w:spacing w:val="-3"/>
          <w:sz w:val="22"/>
          <w:szCs w:val="22"/>
        </w:rPr>
        <w:t xml:space="preserve"> occur</w:t>
      </w:r>
      <w:r w:rsidR="003718F3" w:rsidRPr="00A249E4">
        <w:rPr>
          <w:rFonts w:ascii="Times New Roman" w:hAnsi="Times New Roman"/>
          <w:spacing w:val="-3"/>
          <w:sz w:val="22"/>
          <w:szCs w:val="22"/>
        </w:rPr>
        <w:t>.</w:t>
      </w:r>
      <w:r w:rsidR="00CF2C40" w:rsidRPr="00A249E4">
        <w:rPr>
          <w:rFonts w:ascii="Times New Roman" w:hAnsi="Times New Roman"/>
          <w:spacing w:val="-3"/>
          <w:sz w:val="22"/>
          <w:szCs w:val="22"/>
        </w:rPr>
        <w:t xml:space="preserve"> </w:t>
      </w:r>
      <w:r w:rsidR="003718F3" w:rsidRPr="00A249E4">
        <w:rPr>
          <w:rFonts w:ascii="Times New Roman" w:hAnsi="Times New Roman"/>
          <w:spacing w:val="-3"/>
          <w:sz w:val="22"/>
          <w:szCs w:val="22"/>
        </w:rPr>
        <w:t>M</w:t>
      </w:r>
      <w:r w:rsidR="00CF2C40" w:rsidRPr="00A249E4">
        <w:rPr>
          <w:rFonts w:ascii="Times New Roman" w:hAnsi="Times New Roman"/>
          <w:spacing w:val="-3"/>
          <w:sz w:val="22"/>
          <w:szCs w:val="22"/>
        </w:rPr>
        <w:t>ore importantly</w:t>
      </w:r>
      <w:r w:rsidR="008A2169" w:rsidRPr="00A249E4">
        <w:rPr>
          <w:rFonts w:ascii="Times New Roman" w:hAnsi="Times New Roman"/>
          <w:spacing w:val="-3"/>
          <w:sz w:val="22"/>
          <w:szCs w:val="22"/>
        </w:rPr>
        <w:t>,</w:t>
      </w:r>
      <w:r w:rsidR="00CF2C40" w:rsidRPr="00A249E4">
        <w:rPr>
          <w:rFonts w:ascii="Times New Roman" w:hAnsi="Times New Roman"/>
          <w:spacing w:val="-3"/>
          <w:sz w:val="22"/>
          <w:szCs w:val="22"/>
        </w:rPr>
        <w:t xml:space="preserve"> the </w:t>
      </w:r>
      <w:r w:rsidR="00B01FB3" w:rsidRPr="00A249E4">
        <w:rPr>
          <w:rFonts w:ascii="Times New Roman" w:hAnsi="Times New Roman"/>
          <w:spacing w:val="-3"/>
          <w:sz w:val="22"/>
          <w:szCs w:val="22"/>
        </w:rPr>
        <w:t xml:space="preserve">inappropriate </w:t>
      </w:r>
      <w:r w:rsidR="00CF2C40" w:rsidRPr="00A249E4">
        <w:rPr>
          <w:rFonts w:ascii="Times New Roman" w:hAnsi="Times New Roman"/>
          <w:spacing w:val="-3"/>
          <w:sz w:val="22"/>
          <w:szCs w:val="22"/>
        </w:rPr>
        <w:t>dividend</w:t>
      </w:r>
      <w:r w:rsidR="00B01FB3" w:rsidRPr="00A249E4">
        <w:rPr>
          <w:rFonts w:ascii="Times New Roman" w:hAnsi="Times New Roman"/>
          <w:spacing w:val="-3"/>
          <w:sz w:val="22"/>
          <w:szCs w:val="22"/>
        </w:rPr>
        <w:t xml:space="preserve"> </w:t>
      </w:r>
      <w:r w:rsidR="00CF2C40" w:rsidRPr="00A249E4">
        <w:rPr>
          <w:rFonts w:ascii="Times New Roman" w:hAnsi="Times New Roman"/>
          <w:spacing w:val="-3"/>
          <w:sz w:val="22"/>
          <w:szCs w:val="22"/>
        </w:rPr>
        <w:t xml:space="preserve">would </w:t>
      </w:r>
      <w:r w:rsidR="00A95AFD" w:rsidRPr="00A249E4">
        <w:rPr>
          <w:rFonts w:ascii="Times New Roman" w:hAnsi="Times New Roman"/>
          <w:spacing w:val="-3"/>
          <w:sz w:val="22"/>
          <w:szCs w:val="22"/>
        </w:rPr>
        <w:t>not have been able to occur</w:t>
      </w:r>
      <w:r w:rsidR="00CF2C40" w:rsidRPr="00A249E4">
        <w:rPr>
          <w:rFonts w:ascii="Times New Roman" w:hAnsi="Times New Roman"/>
          <w:spacing w:val="-3"/>
          <w:sz w:val="22"/>
          <w:szCs w:val="22"/>
        </w:rPr>
        <w:t xml:space="preserve">, </w:t>
      </w:r>
      <w:r w:rsidR="003718F3" w:rsidRPr="00A249E4">
        <w:rPr>
          <w:rFonts w:ascii="Times New Roman" w:hAnsi="Times New Roman"/>
          <w:spacing w:val="-3"/>
          <w:sz w:val="22"/>
          <w:szCs w:val="22"/>
        </w:rPr>
        <w:t>and</w:t>
      </w:r>
      <w:r w:rsidR="00CF2C40" w:rsidRPr="00A249E4">
        <w:rPr>
          <w:rFonts w:ascii="Times New Roman" w:hAnsi="Times New Roman"/>
          <w:spacing w:val="-3"/>
          <w:sz w:val="22"/>
          <w:szCs w:val="22"/>
        </w:rPr>
        <w:t xml:space="preserve"> the balance sheet would </w:t>
      </w:r>
      <w:r w:rsidR="00C711F0" w:rsidRPr="00A249E4">
        <w:rPr>
          <w:rFonts w:ascii="Times New Roman" w:hAnsi="Times New Roman"/>
          <w:spacing w:val="-3"/>
          <w:sz w:val="22"/>
          <w:szCs w:val="22"/>
        </w:rPr>
        <w:t xml:space="preserve">instead </w:t>
      </w:r>
      <w:r w:rsidR="00CF2C40" w:rsidRPr="00A249E4">
        <w:rPr>
          <w:rFonts w:ascii="Times New Roman" w:hAnsi="Times New Roman"/>
          <w:spacing w:val="-3"/>
          <w:sz w:val="22"/>
          <w:szCs w:val="22"/>
        </w:rPr>
        <w:t xml:space="preserve">look </w:t>
      </w:r>
      <w:r w:rsidR="004E5F81" w:rsidRPr="00A249E4">
        <w:rPr>
          <w:rFonts w:ascii="Times New Roman" w:hAnsi="Times New Roman"/>
          <w:spacing w:val="-3"/>
          <w:sz w:val="22"/>
          <w:szCs w:val="22"/>
        </w:rPr>
        <w:t>like Figure D.</w:t>
      </w:r>
    </w:p>
    <w:p w14:paraId="0365A42C" w14:textId="6D57EECF" w:rsidR="00CF2C40" w:rsidRPr="00A249E4" w:rsidRDefault="00CF2C40" w:rsidP="00401352">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bl>
      <w:tblPr>
        <w:tblStyle w:val="TableGrid"/>
        <w:tblW w:w="0" w:type="auto"/>
        <w:tblLook w:val="04A0" w:firstRow="1" w:lastRow="0" w:firstColumn="1" w:lastColumn="0" w:noHBand="0" w:noVBand="1"/>
      </w:tblPr>
      <w:tblGrid>
        <w:gridCol w:w="4675"/>
        <w:gridCol w:w="4675"/>
      </w:tblGrid>
      <w:tr w:rsidR="00CF2C40" w:rsidRPr="00A249E4" w14:paraId="4EFA3DFF" w14:textId="77777777" w:rsidTr="00F23DBC">
        <w:tc>
          <w:tcPr>
            <w:tcW w:w="9350" w:type="dxa"/>
            <w:gridSpan w:val="2"/>
          </w:tcPr>
          <w:p w14:paraId="197C41EF" w14:textId="3B56E4CB" w:rsidR="00CF2C40" w:rsidRPr="00A249E4" w:rsidRDefault="00DF3BC4"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Figure </w:t>
            </w:r>
            <w:r w:rsidR="00CF2C40" w:rsidRPr="00A249E4">
              <w:rPr>
                <w:rFonts w:ascii="Times New Roman" w:hAnsi="Times New Roman"/>
                <w:spacing w:val="-3"/>
                <w:sz w:val="22"/>
                <w:szCs w:val="22"/>
              </w:rPr>
              <w:t>D</w:t>
            </w:r>
          </w:p>
        </w:tc>
      </w:tr>
      <w:tr w:rsidR="00CF2C40" w:rsidRPr="00A249E4" w14:paraId="48B707C3" w14:textId="77777777" w:rsidTr="00F23DBC">
        <w:tc>
          <w:tcPr>
            <w:tcW w:w="4675" w:type="dxa"/>
          </w:tcPr>
          <w:p w14:paraId="7129471C" w14:textId="77777777" w:rsidR="00CF2C40" w:rsidRPr="00A249E4" w:rsidRDefault="00CF2C40"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Assets</w:t>
            </w:r>
          </w:p>
        </w:tc>
        <w:tc>
          <w:tcPr>
            <w:tcW w:w="4675" w:type="dxa"/>
          </w:tcPr>
          <w:p w14:paraId="5799F774" w14:textId="77777777" w:rsidR="00CF2C40" w:rsidRPr="00A249E4" w:rsidRDefault="00CF2C40"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Liabilities and Surplus</w:t>
            </w:r>
          </w:p>
        </w:tc>
      </w:tr>
      <w:tr w:rsidR="00CF2C40" w:rsidRPr="00A249E4" w14:paraId="2CA77442" w14:textId="77777777" w:rsidTr="00F23DBC">
        <w:tc>
          <w:tcPr>
            <w:tcW w:w="4675" w:type="dxa"/>
          </w:tcPr>
          <w:p w14:paraId="2BB56E75" w14:textId="7AEEC044" w:rsidR="00CF2C40" w:rsidRPr="00A249E4" w:rsidRDefault="00CF2C40"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Bonds                        1</w:t>
            </w:r>
            <w:r w:rsidR="003E121A" w:rsidRPr="00A249E4">
              <w:rPr>
                <w:rFonts w:ascii="Times New Roman" w:hAnsi="Times New Roman"/>
                <w:spacing w:val="-3"/>
                <w:sz w:val="22"/>
                <w:szCs w:val="22"/>
              </w:rPr>
              <w:t>18</w:t>
            </w:r>
            <w:r w:rsidRPr="00A249E4">
              <w:rPr>
                <w:rFonts w:ascii="Times New Roman" w:hAnsi="Times New Roman"/>
                <w:spacing w:val="-3"/>
                <w:sz w:val="22"/>
                <w:szCs w:val="22"/>
              </w:rPr>
              <w:t xml:space="preserve">             </w:t>
            </w:r>
          </w:p>
          <w:p w14:paraId="6A5B53EB" w14:textId="77777777" w:rsidR="00CF2C40" w:rsidRPr="00A249E4" w:rsidRDefault="00CF2C40"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Equities                    </w:t>
            </w:r>
            <w:r w:rsidRPr="00A249E4">
              <w:rPr>
                <w:rFonts w:ascii="Times New Roman" w:hAnsi="Times New Roman"/>
                <w:spacing w:val="-3"/>
                <w:sz w:val="22"/>
                <w:szCs w:val="22"/>
                <w:u w:val="single"/>
              </w:rPr>
              <w:t xml:space="preserve">   10</w:t>
            </w:r>
          </w:p>
          <w:p w14:paraId="4CAF6145" w14:textId="661FC3DB" w:rsidR="00CF2C40" w:rsidRPr="00A249E4" w:rsidRDefault="00CF2C40"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   Total Assets          </w:t>
            </w:r>
            <w:r w:rsidRPr="00A249E4">
              <w:rPr>
                <w:rFonts w:ascii="Times New Roman" w:hAnsi="Times New Roman"/>
                <w:spacing w:val="-3"/>
                <w:sz w:val="22"/>
                <w:szCs w:val="22"/>
                <w:u w:val="double"/>
              </w:rPr>
              <w:t xml:space="preserve"> 1</w:t>
            </w:r>
            <w:r w:rsidR="003E121A" w:rsidRPr="00A249E4">
              <w:rPr>
                <w:rFonts w:ascii="Times New Roman" w:hAnsi="Times New Roman"/>
                <w:spacing w:val="-3"/>
                <w:sz w:val="22"/>
                <w:szCs w:val="22"/>
                <w:u w:val="double"/>
              </w:rPr>
              <w:t>28</w:t>
            </w:r>
            <w:r w:rsidRPr="00A249E4">
              <w:rPr>
                <w:rFonts w:ascii="Times New Roman" w:hAnsi="Times New Roman"/>
                <w:spacing w:val="-3"/>
                <w:sz w:val="22"/>
                <w:szCs w:val="22"/>
              </w:rPr>
              <w:t xml:space="preserve"> </w:t>
            </w:r>
          </w:p>
          <w:p w14:paraId="7F337A6A" w14:textId="77777777" w:rsidR="00CF2C40" w:rsidRPr="00A249E4" w:rsidRDefault="00CF2C40"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c>
        <w:tc>
          <w:tcPr>
            <w:tcW w:w="4675" w:type="dxa"/>
          </w:tcPr>
          <w:p w14:paraId="256133D9" w14:textId="6BA9920E" w:rsidR="00CF2C40" w:rsidRPr="00A249E4" w:rsidRDefault="00CF2C40"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Insurance liability                   100</w:t>
            </w:r>
          </w:p>
          <w:p w14:paraId="635519B2" w14:textId="2FACBD40" w:rsidR="003E121A" w:rsidRPr="00A249E4" w:rsidRDefault="003E121A"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IMR                                           18</w:t>
            </w:r>
          </w:p>
          <w:p w14:paraId="1D0ED2F1" w14:textId="77777777" w:rsidR="00CF2C40" w:rsidRPr="00A249E4" w:rsidRDefault="00CF2C40"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rPr>
              <w:t xml:space="preserve">Surplus                                    </w:t>
            </w:r>
            <w:r w:rsidRPr="00A249E4">
              <w:rPr>
                <w:rFonts w:ascii="Times New Roman" w:hAnsi="Times New Roman"/>
                <w:spacing w:val="-3"/>
                <w:sz w:val="22"/>
                <w:szCs w:val="22"/>
                <w:u w:val="single"/>
              </w:rPr>
              <w:t xml:space="preserve">  10</w:t>
            </w:r>
          </w:p>
          <w:p w14:paraId="2F46EEFA" w14:textId="77777777" w:rsidR="00CF2C40" w:rsidRPr="00A249E4" w:rsidRDefault="00CF2C40"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double"/>
              </w:rPr>
            </w:pPr>
            <w:r w:rsidRPr="00A249E4">
              <w:rPr>
                <w:rFonts w:ascii="Times New Roman" w:hAnsi="Times New Roman"/>
                <w:spacing w:val="-3"/>
                <w:sz w:val="22"/>
                <w:szCs w:val="22"/>
              </w:rPr>
              <w:t xml:space="preserve">   Liabilities &amp; Surplus           </w:t>
            </w:r>
            <w:r w:rsidRPr="00A249E4">
              <w:rPr>
                <w:rFonts w:ascii="Times New Roman" w:hAnsi="Times New Roman"/>
                <w:spacing w:val="-3"/>
                <w:sz w:val="22"/>
                <w:szCs w:val="22"/>
                <w:u w:val="double"/>
              </w:rPr>
              <w:t>1</w:t>
            </w:r>
            <w:r w:rsidR="003E121A" w:rsidRPr="00A249E4">
              <w:rPr>
                <w:rFonts w:ascii="Times New Roman" w:hAnsi="Times New Roman"/>
                <w:spacing w:val="-3"/>
                <w:sz w:val="22"/>
                <w:szCs w:val="22"/>
                <w:u w:val="double"/>
              </w:rPr>
              <w:t>28</w:t>
            </w:r>
          </w:p>
          <w:p w14:paraId="5CBF297C" w14:textId="43D3CC07" w:rsidR="003E121A" w:rsidRPr="00A249E4" w:rsidRDefault="003E121A"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c>
      </w:tr>
    </w:tbl>
    <w:p w14:paraId="61716D0B" w14:textId="20B8EBEB" w:rsidR="00CF2C40" w:rsidRPr="00A249E4" w:rsidRDefault="00CF2C40" w:rsidP="00401352">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2B232263" w14:textId="1D77E440" w:rsidR="00DF3BC4" w:rsidRPr="00A249E4" w:rsidRDefault="00DF3BC4" w:rsidP="00FC43C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u w:val="single"/>
        </w:rPr>
        <w:t>Example 2</w:t>
      </w:r>
    </w:p>
    <w:p w14:paraId="64D5DCD6" w14:textId="77777777" w:rsidR="00B207B8" w:rsidRPr="00A249E4" w:rsidRDefault="00B207B8" w:rsidP="005D439E">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29E25DAE" w14:textId="58C9D762" w:rsidR="00232CD7" w:rsidRPr="00A249E4" w:rsidRDefault="00FD6302" w:rsidP="005D439E">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After demonstrating the importance of IMR in a declining interest rate environment in Example 1, Example 2 demonstrate</w:t>
      </w:r>
      <w:r w:rsidR="00D15E27" w:rsidRPr="00A249E4">
        <w:rPr>
          <w:rFonts w:ascii="Times New Roman" w:hAnsi="Times New Roman"/>
          <w:spacing w:val="-3"/>
          <w:sz w:val="22"/>
          <w:szCs w:val="22"/>
        </w:rPr>
        <w:t>s</w:t>
      </w:r>
      <w:r w:rsidRPr="00A249E4">
        <w:rPr>
          <w:rFonts w:ascii="Times New Roman" w:hAnsi="Times New Roman"/>
          <w:spacing w:val="-3"/>
          <w:sz w:val="22"/>
          <w:szCs w:val="22"/>
        </w:rPr>
        <w:t xml:space="preserve"> its importance in a rising interest rate environment.</w:t>
      </w:r>
      <w:r w:rsidR="007161D4" w:rsidRPr="00A249E4">
        <w:rPr>
          <w:rFonts w:ascii="Times New Roman" w:hAnsi="Times New Roman"/>
          <w:spacing w:val="-3"/>
          <w:sz w:val="22"/>
          <w:szCs w:val="22"/>
        </w:rPr>
        <w:t xml:space="preserve"> </w:t>
      </w:r>
      <w:r w:rsidR="00677032" w:rsidRPr="00A249E4">
        <w:rPr>
          <w:rFonts w:ascii="Times New Roman" w:hAnsi="Times New Roman"/>
          <w:spacing w:val="-3"/>
          <w:sz w:val="22"/>
          <w:szCs w:val="22"/>
        </w:rPr>
        <w:t>For Company XYZ, a</w:t>
      </w:r>
      <w:r w:rsidR="00FC43C8" w:rsidRPr="00A249E4">
        <w:rPr>
          <w:rFonts w:ascii="Times New Roman" w:hAnsi="Times New Roman"/>
          <w:spacing w:val="-3"/>
          <w:sz w:val="22"/>
          <w:szCs w:val="22"/>
        </w:rPr>
        <w:t xml:space="preserve">ssume the same </w:t>
      </w:r>
      <w:r w:rsidR="00DF3BC4" w:rsidRPr="00A249E4">
        <w:rPr>
          <w:rFonts w:ascii="Times New Roman" w:hAnsi="Times New Roman"/>
          <w:spacing w:val="-3"/>
          <w:sz w:val="22"/>
          <w:szCs w:val="22"/>
        </w:rPr>
        <w:t xml:space="preserve">starting </w:t>
      </w:r>
      <w:r w:rsidR="00FC43C8" w:rsidRPr="00A249E4">
        <w:rPr>
          <w:rFonts w:ascii="Times New Roman" w:hAnsi="Times New Roman"/>
          <w:spacing w:val="-3"/>
          <w:sz w:val="22"/>
          <w:szCs w:val="22"/>
        </w:rPr>
        <w:t>position as Example 1</w:t>
      </w:r>
      <w:r w:rsidR="00DF3BC4" w:rsidRPr="00A249E4">
        <w:rPr>
          <w:rFonts w:ascii="Times New Roman" w:hAnsi="Times New Roman"/>
          <w:spacing w:val="-3"/>
          <w:sz w:val="22"/>
          <w:szCs w:val="22"/>
        </w:rPr>
        <w:t>. I</w:t>
      </w:r>
      <w:r w:rsidR="00FC43C8" w:rsidRPr="00A249E4">
        <w:rPr>
          <w:rFonts w:ascii="Times New Roman" w:hAnsi="Times New Roman"/>
          <w:spacing w:val="-3"/>
          <w:sz w:val="22"/>
          <w:szCs w:val="22"/>
        </w:rPr>
        <w:t xml:space="preserve">mmediately after purchasing the bond, </w:t>
      </w:r>
      <w:r w:rsidR="00CE0B3C" w:rsidRPr="00A249E4">
        <w:rPr>
          <w:rFonts w:ascii="Times New Roman" w:hAnsi="Times New Roman"/>
          <w:spacing w:val="-3"/>
          <w:sz w:val="22"/>
          <w:szCs w:val="22"/>
        </w:rPr>
        <w:t xml:space="preserve">the </w:t>
      </w:r>
      <w:r w:rsidR="00FC43C8" w:rsidRPr="00A249E4">
        <w:rPr>
          <w:rFonts w:ascii="Times New Roman" w:hAnsi="Times New Roman"/>
          <w:spacing w:val="-3"/>
          <w:sz w:val="22"/>
          <w:szCs w:val="22"/>
        </w:rPr>
        <w:t>bond yield increase</w:t>
      </w:r>
      <w:r w:rsidR="006954AF">
        <w:rPr>
          <w:rFonts w:ascii="Times New Roman" w:hAnsi="Times New Roman"/>
          <w:spacing w:val="-3"/>
          <w:sz w:val="22"/>
          <w:szCs w:val="22"/>
        </w:rPr>
        <w:t>s</w:t>
      </w:r>
      <w:r w:rsidR="00FC43C8" w:rsidRPr="00A249E4">
        <w:rPr>
          <w:rFonts w:ascii="Times New Roman" w:hAnsi="Times New Roman"/>
          <w:spacing w:val="-3"/>
          <w:sz w:val="22"/>
          <w:szCs w:val="22"/>
        </w:rPr>
        <w:t xml:space="preserve"> to 6%.</w:t>
      </w:r>
      <w:r w:rsidR="00B24ECF">
        <w:rPr>
          <w:rFonts w:ascii="Times New Roman" w:hAnsi="Times New Roman"/>
          <w:spacing w:val="-3"/>
          <w:sz w:val="22"/>
          <w:szCs w:val="22"/>
        </w:rPr>
        <w:t xml:space="preserve"> </w:t>
      </w:r>
      <w:r w:rsidR="00FC43C8" w:rsidRPr="00A249E4">
        <w:rPr>
          <w:rFonts w:ascii="Times New Roman" w:hAnsi="Times New Roman"/>
          <w:spacing w:val="-3"/>
          <w:sz w:val="22"/>
          <w:szCs w:val="22"/>
        </w:rPr>
        <w:t xml:space="preserve">Company </w:t>
      </w:r>
      <w:r w:rsidR="00677032" w:rsidRPr="00A249E4">
        <w:rPr>
          <w:rFonts w:ascii="Times New Roman" w:hAnsi="Times New Roman"/>
          <w:spacing w:val="-3"/>
          <w:sz w:val="22"/>
          <w:szCs w:val="22"/>
        </w:rPr>
        <w:t>XYZ</w:t>
      </w:r>
      <w:r w:rsidR="00FC43C8" w:rsidRPr="00A249E4">
        <w:rPr>
          <w:rFonts w:ascii="Times New Roman" w:hAnsi="Times New Roman"/>
          <w:spacing w:val="-3"/>
          <w:sz w:val="22"/>
          <w:szCs w:val="22"/>
        </w:rPr>
        <w:t xml:space="preserve">’s balance sheet would not change although the bond </w:t>
      </w:r>
      <w:r w:rsidR="00CE0B3C" w:rsidRPr="00A249E4">
        <w:rPr>
          <w:rFonts w:ascii="Times New Roman" w:hAnsi="Times New Roman"/>
          <w:spacing w:val="-3"/>
          <w:sz w:val="22"/>
          <w:szCs w:val="22"/>
        </w:rPr>
        <w:t>now has a market value of</w:t>
      </w:r>
      <w:r w:rsidR="00FC43C8" w:rsidRPr="00A249E4">
        <w:rPr>
          <w:rFonts w:ascii="Times New Roman" w:hAnsi="Times New Roman"/>
          <w:spacing w:val="-3"/>
          <w:sz w:val="22"/>
          <w:szCs w:val="22"/>
        </w:rPr>
        <w:t xml:space="preserve"> $85.</w:t>
      </w:r>
      <w:r w:rsidR="00B24ECF">
        <w:rPr>
          <w:rFonts w:ascii="Times New Roman" w:hAnsi="Times New Roman"/>
          <w:spacing w:val="-3"/>
          <w:sz w:val="22"/>
          <w:szCs w:val="22"/>
        </w:rPr>
        <w:t xml:space="preserve"> </w:t>
      </w:r>
      <w:r w:rsidR="00FC43C8" w:rsidRPr="00A249E4">
        <w:rPr>
          <w:rFonts w:ascii="Times New Roman" w:hAnsi="Times New Roman"/>
          <w:spacing w:val="-3"/>
          <w:sz w:val="22"/>
          <w:szCs w:val="22"/>
        </w:rPr>
        <w:t>From a statutory solvency perspective, there is no concern with the balance sheet valuation</w:t>
      </w:r>
      <w:r w:rsidR="007773C2" w:rsidRPr="00A249E4">
        <w:rPr>
          <w:rFonts w:ascii="Times New Roman" w:hAnsi="Times New Roman"/>
          <w:spacing w:val="-3"/>
          <w:sz w:val="22"/>
          <w:szCs w:val="22"/>
        </w:rPr>
        <w:t xml:space="preserve"> because the bond can fund the liability and the financial statements are reported on a financially integrated basis and accurately reflect solvency.</w:t>
      </w:r>
    </w:p>
    <w:p w14:paraId="2299BF56" w14:textId="77777777" w:rsidR="005D439E" w:rsidRPr="00A249E4" w:rsidRDefault="005D439E" w:rsidP="005D439E">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5D12354D" w14:textId="2E306EA5" w:rsidR="00FC43C8" w:rsidRPr="00A249E4" w:rsidRDefault="00FC43C8" w:rsidP="00FC43C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Later that day, </w:t>
      </w:r>
      <w:r w:rsidR="002E4302" w:rsidRPr="00A249E4">
        <w:rPr>
          <w:rFonts w:ascii="Times New Roman" w:hAnsi="Times New Roman"/>
          <w:spacing w:val="-3"/>
          <w:sz w:val="22"/>
          <w:szCs w:val="22"/>
        </w:rPr>
        <w:t xml:space="preserve">assume </w:t>
      </w:r>
      <w:r w:rsidRPr="00A249E4">
        <w:rPr>
          <w:rFonts w:ascii="Times New Roman" w:hAnsi="Times New Roman"/>
          <w:spacing w:val="-3"/>
          <w:sz w:val="22"/>
          <w:szCs w:val="22"/>
        </w:rPr>
        <w:t xml:space="preserve">Company </w:t>
      </w:r>
      <w:r w:rsidR="002E4302" w:rsidRPr="00A249E4">
        <w:rPr>
          <w:rFonts w:ascii="Times New Roman" w:hAnsi="Times New Roman"/>
          <w:spacing w:val="-3"/>
          <w:sz w:val="22"/>
          <w:szCs w:val="22"/>
        </w:rPr>
        <w:t>XYZ</w:t>
      </w:r>
      <w:r w:rsidRPr="00A249E4">
        <w:rPr>
          <w:rFonts w:ascii="Times New Roman" w:hAnsi="Times New Roman"/>
          <w:spacing w:val="-3"/>
          <w:sz w:val="22"/>
          <w:szCs w:val="22"/>
        </w:rPr>
        <w:t xml:space="preserve"> s</w:t>
      </w:r>
      <w:r w:rsidR="002E4302" w:rsidRPr="00A249E4">
        <w:rPr>
          <w:rFonts w:ascii="Times New Roman" w:hAnsi="Times New Roman"/>
          <w:spacing w:val="-3"/>
          <w:sz w:val="22"/>
          <w:szCs w:val="22"/>
        </w:rPr>
        <w:t>ells</w:t>
      </w:r>
      <w:r w:rsidRPr="00A249E4">
        <w:rPr>
          <w:rFonts w:ascii="Times New Roman" w:hAnsi="Times New Roman"/>
          <w:spacing w:val="-3"/>
          <w:sz w:val="22"/>
          <w:szCs w:val="22"/>
        </w:rPr>
        <w:t xml:space="preserve"> </w:t>
      </w:r>
      <w:r w:rsidR="002E4302" w:rsidRPr="00A249E4">
        <w:rPr>
          <w:rFonts w:ascii="Times New Roman" w:hAnsi="Times New Roman"/>
          <w:spacing w:val="-3"/>
          <w:sz w:val="22"/>
          <w:szCs w:val="22"/>
        </w:rPr>
        <w:t>the</w:t>
      </w:r>
      <w:r w:rsidRPr="00A249E4">
        <w:rPr>
          <w:rFonts w:ascii="Times New Roman" w:hAnsi="Times New Roman"/>
          <w:spacing w:val="-3"/>
          <w:sz w:val="22"/>
          <w:szCs w:val="22"/>
        </w:rPr>
        <w:t xml:space="preserve"> bond and immediately invest</w:t>
      </w:r>
      <w:r w:rsidR="002E4302" w:rsidRPr="00A249E4">
        <w:rPr>
          <w:rFonts w:ascii="Times New Roman" w:hAnsi="Times New Roman"/>
          <w:spacing w:val="-3"/>
          <w:sz w:val="22"/>
          <w:szCs w:val="22"/>
        </w:rPr>
        <w:t>s</w:t>
      </w:r>
      <w:r w:rsidRPr="00A249E4">
        <w:rPr>
          <w:rFonts w:ascii="Times New Roman" w:hAnsi="Times New Roman"/>
          <w:spacing w:val="-3"/>
          <w:sz w:val="22"/>
          <w:szCs w:val="22"/>
        </w:rPr>
        <w:t xml:space="preserve"> the proceeds in a 10-year bond of the same credit quality with a coupon rate of </w:t>
      </w:r>
      <w:r w:rsidR="000A5EDA" w:rsidRPr="00A249E4">
        <w:rPr>
          <w:rFonts w:ascii="Times New Roman" w:hAnsi="Times New Roman"/>
          <w:spacing w:val="-3"/>
          <w:sz w:val="22"/>
          <w:szCs w:val="22"/>
        </w:rPr>
        <w:t>6</w:t>
      </w:r>
      <w:r w:rsidRPr="00A249E4">
        <w:rPr>
          <w:rFonts w:ascii="Times New Roman" w:hAnsi="Times New Roman"/>
          <w:spacing w:val="-3"/>
          <w:sz w:val="22"/>
          <w:szCs w:val="22"/>
        </w:rPr>
        <w:t>%</w:t>
      </w:r>
      <w:r w:rsidR="00655F5C" w:rsidRPr="00A249E4">
        <w:rPr>
          <w:rFonts w:ascii="Times New Roman" w:hAnsi="Times New Roman"/>
          <w:spacing w:val="-3"/>
          <w:sz w:val="22"/>
          <w:szCs w:val="22"/>
        </w:rPr>
        <w:t>. Par value</w:t>
      </w:r>
      <w:r w:rsidRPr="00A249E4">
        <w:rPr>
          <w:rFonts w:ascii="Times New Roman" w:hAnsi="Times New Roman"/>
          <w:spacing w:val="-3"/>
          <w:sz w:val="22"/>
          <w:szCs w:val="22"/>
        </w:rPr>
        <w:t xml:space="preserve"> would now be $</w:t>
      </w:r>
      <w:r w:rsidR="000A5EDA" w:rsidRPr="00A249E4">
        <w:rPr>
          <w:rFonts w:ascii="Times New Roman" w:hAnsi="Times New Roman"/>
          <w:spacing w:val="-3"/>
          <w:sz w:val="22"/>
          <w:szCs w:val="22"/>
        </w:rPr>
        <w:t>85</w:t>
      </w:r>
      <w:r w:rsidRPr="00A249E4">
        <w:rPr>
          <w:rFonts w:ascii="Times New Roman" w:hAnsi="Times New Roman"/>
          <w:spacing w:val="-3"/>
          <w:sz w:val="22"/>
          <w:szCs w:val="22"/>
        </w:rPr>
        <w:t>.</w:t>
      </w:r>
      <w:r w:rsidR="00B24ECF">
        <w:rPr>
          <w:rFonts w:ascii="Times New Roman" w:hAnsi="Times New Roman"/>
          <w:spacing w:val="-3"/>
          <w:sz w:val="22"/>
          <w:szCs w:val="22"/>
        </w:rPr>
        <w:t xml:space="preserve"> </w:t>
      </w:r>
      <w:r w:rsidRPr="00A249E4">
        <w:rPr>
          <w:rFonts w:ascii="Times New Roman" w:hAnsi="Times New Roman"/>
          <w:spacing w:val="-3"/>
          <w:sz w:val="22"/>
          <w:szCs w:val="22"/>
        </w:rPr>
        <w:t xml:space="preserve">Company </w:t>
      </w:r>
      <w:r w:rsidR="00655F5C" w:rsidRPr="00A249E4">
        <w:rPr>
          <w:rFonts w:ascii="Times New Roman" w:hAnsi="Times New Roman"/>
          <w:spacing w:val="-3"/>
          <w:sz w:val="22"/>
          <w:szCs w:val="22"/>
        </w:rPr>
        <w:t>XYZ</w:t>
      </w:r>
      <w:r w:rsidRPr="00A249E4">
        <w:rPr>
          <w:rFonts w:ascii="Times New Roman" w:hAnsi="Times New Roman"/>
          <w:spacing w:val="-3"/>
          <w:sz w:val="22"/>
          <w:szCs w:val="22"/>
        </w:rPr>
        <w:t>’s balance sheet</w:t>
      </w:r>
      <w:r w:rsidR="00655F5C" w:rsidRPr="00A249E4">
        <w:rPr>
          <w:rFonts w:ascii="Times New Roman" w:hAnsi="Times New Roman"/>
          <w:spacing w:val="-3"/>
          <w:sz w:val="22"/>
          <w:szCs w:val="22"/>
        </w:rPr>
        <w:t>, without IMR,</w:t>
      </w:r>
      <w:r w:rsidRPr="00A249E4">
        <w:rPr>
          <w:rFonts w:ascii="Times New Roman" w:hAnsi="Times New Roman"/>
          <w:spacing w:val="-3"/>
          <w:sz w:val="22"/>
          <w:szCs w:val="22"/>
        </w:rPr>
        <w:t xml:space="preserve"> would look like </w:t>
      </w:r>
      <w:r w:rsidR="00655F5C" w:rsidRPr="00A249E4">
        <w:rPr>
          <w:rFonts w:ascii="Times New Roman" w:hAnsi="Times New Roman"/>
          <w:spacing w:val="-3"/>
          <w:sz w:val="22"/>
          <w:szCs w:val="22"/>
        </w:rPr>
        <w:t>Figure E</w:t>
      </w:r>
      <w:r w:rsidRPr="00A249E4">
        <w:rPr>
          <w:rFonts w:ascii="Times New Roman" w:hAnsi="Times New Roman"/>
          <w:spacing w:val="-3"/>
          <w:sz w:val="22"/>
          <w:szCs w:val="22"/>
        </w:rPr>
        <w:t>.</w:t>
      </w:r>
    </w:p>
    <w:p w14:paraId="1E93A411" w14:textId="7D1D8A6A" w:rsidR="00FC43C8" w:rsidRPr="00A249E4" w:rsidRDefault="00FC43C8" w:rsidP="00FC43C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bl>
      <w:tblPr>
        <w:tblStyle w:val="TableGrid"/>
        <w:tblW w:w="0" w:type="auto"/>
        <w:tblLook w:val="04A0" w:firstRow="1" w:lastRow="0" w:firstColumn="1" w:lastColumn="0" w:noHBand="0" w:noVBand="1"/>
      </w:tblPr>
      <w:tblGrid>
        <w:gridCol w:w="4675"/>
        <w:gridCol w:w="4675"/>
      </w:tblGrid>
      <w:tr w:rsidR="000A5EDA" w:rsidRPr="00A249E4" w14:paraId="65C94129" w14:textId="77777777" w:rsidTr="00F23DBC">
        <w:tc>
          <w:tcPr>
            <w:tcW w:w="9350" w:type="dxa"/>
            <w:gridSpan w:val="2"/>
          </w:tcPr>
          <w:p w14:paraId="4161F38D" w14:textId="6E46959B" w:rsidR="000A5EDA" w:rsidRPr="00A249E4" w:rsidRDefault="005D439E"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Figure E</w:t>
            </w:r>
          </w:p>
        </w:tc>
      </w:tr>
      <w:tr w:rsidR="000A5EDA" w:rsidRPr="00A249E4" w14:paraId="1A54438F" w14:textId="77777777" w:rsidTr="00F23DBC">
        <w:tc>
          <w:tcPr>
            <w:tcW w:w="4675" w:type="dxa"/>
          </w:tcPr>
          <w:p w14:paraId="74D5B309" w14:textId="77777777" w:rsidR="000A5EDA" w:rsidRPr="00A249E4" w:rsidRDefault="000A5EDA"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Assets</w:t>
            </w:r>
          </w:p>
        </w:tc>
        <w:tc>
          <w:tcPr>
            <w:tcW w:w="4675" w:type="dxa"/>
          </w:tcPr>
          <w:p w14:paraId="454244C0" w14:textId="77777777" w:rsidR="000A5EDA" w:rsidRPr="00A249E4" w:rsidRDefault="000A5EDA"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Liabilities and Surplus</w:t>
            </w:r>
          </w:p>
        </w:tc>
      </w:tr>
      <w:tr w:rsidR="000A5EDA" w:rsidRPr="00A249E4" w14:paraId="4AB3C45D" w14:textId="77777777" w:rsidTr="00F23DBC">
        <w:tc>
          <w:tcPr>
            <w:tcW w:w="4675" w:type="dxa"/>
          </w:tcPr>
          <w:p w14:paraId="658D24D4" w14:textId="0BBCB43A" w:rsidR="000A5EDA" w:rsidRPr="00A249E4" w:rsidRDefault="000A5EDA"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Bonds                          85             </w:t>
            </w:r>
          </w:p>
          <w:p w14:paraId="72CACA28" w14:textId="77777777" w:rsidR="000A5EDA" w:rsidRPr="00A249E4" w:rsidRDefault="000A5EDA"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Equities                    </w:t>
            </w:r>
            <w:r w:rsidRPr="00A249E4">
              <w:rPr>
                <w:rFonts w:ascii="Times New Roman" w:hAnsi="Times New Roman"/>
                <w:spacing w:val="-3"/>
                <w:sz w:val="22"/>
                <w:szCs w:val="22"/>
                <w:u w:val="single"/>
              </w:rPr>
              <w:t xml:space="preserve">   10</w:t>
            </w:r>
          </w:p>
          <w:p w14:paraId="68BA4502" w14:textId="0E818EF0" w:rsidR="000A5EDA" w:rsidRPr="00A249E4" w:rsidRDefault="000A5EDA"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   Total Assets          </w:t>
            </w:r>
            <w:r w:rsidRPr="00A249E4">
              <w:rPr>
                <w:rFonts w:ascii="Times New Roman" w:hAnsi="Times New Roman"/>
                <w:spacing w:val="-3"/>
                <w:sz w:val="22"/>
                <w:szCs w:val="22"/>
                <w:u w:val="double"/>
              </w:rPr>
              <w:t xml:space="preserve">   95</w:t>
            </w:r>
            <w:r w:rsidRPr="00A249E4">
              <w:rPr>
                <w:rFonts w:ascii="Times New Roman" w:hAnsi="Times New Roman"/>
                <w:spacing w:val="-3"/>
                <w:sz w:val="22"/>
                <w:szCs w:val="22"/>
              </w:rPr>
              <w:t xml:space="preserve"> </w:t>
            </w:r>
          </w:p>
          <w:p w14:paraId="4CF64DE5" w14:textId="77777777" w:rsidR="000A5EDA" w:rsidRPr="00A249E4" w:rsidRDefault="000A5EDA"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c>
        <w:tc>
          <w:tcPr>
            <w:tcW w:w="4675" w:type="dxa"/>
          </w:tcPr>
          <w:p w14:paraId="32527E24" w14:textId="77777777" w:rsidR="000A5EDA" w:rsidRPr="00A249E4" w:rsidRDefault="000A5EDA"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Insurance liability                   100</w:t>
            </w:r>
          </w:p>
          <w:p w14:paraId="21BDF5DC" w14:textId="2B5763D0" w:rsidR="000A5EDA" w:rsidRPr="00A249E4" w:rsidRDefault="000A5EDA"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rPr>
              <w:t xml:space="preserve">Surplus                                    </w:t>
            </w:r>
            <w:r w:rsidRPr="00A249E4">
              <w:rPr>
                <w:rFonts w:ascii="Times New Roman" w:hAnsi="Times New Roman"/>
                <w:spacing w:val="-3"/>
                <w:sz w:val="22"/>
                <w:szCs w:val="22"/>
                <w:u w:val="single"/>
              </w:rPr>
              <w:t xml:space="preserve">  (5)</w:t>
            </w:r>
          </w:p>
          <w:p w14:paraId="0F8DB70A" w14:textId="35BC93CD" w:rsidR="000A5EDA" w:rsidRPr="00A249E4" w:rsidRDefault="000A5EDA"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   Liabilities &amp; Surplus           </w:t>
            </w:r>
            <w:r w:rsidRPr="00A249E4">
              <w:rPr>
                <w:rFonts w:ascii="Times New Roman" w:hAnsi="Times New Roman"/>
                <w:spacing w:val="-3"/>
                <w:sz w:val="22"/>
                <w:szCs w:val="22"/>
                <w:u w:val="double"/>
              </w:rPr>
              <w:t xml:space="preserve">  95</w:t>
            </w:r>
          </w:p>
        </w:tc>
      </w:tr>
    </w:tbl>
    <w:p w14:paraId="6D80F36E" w14:textId="77777777" w:rsidR="000A5EDA" w:rsidRPr="00A249E4" w:rsidRDefault="000A5EDA" w:rsidP="000A5EDA">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0707C664" w14:textId="72C37638" w:rsidR="000A5EDA" w:rsidRPr="00A249E4" w:rsidRDefault="000A5EDA" w:rsidP="000A5EDA">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Company </w:t>
      </w:r>
      <w:r w:rsidR="008A683F" w:rsidRPr="00A249E4">
        <w:rPr>
          <w:rFonts w:ascii="Times New Roman" w:hAnsi="Times New Roman"/>
          <w:spacing w:val="-3"/>
          <w:sz w:val="22"/>
          <w:szCs w:val="22"/>
        </w:rPr>
        <w:t xml:space="preserve">XYZ’s </w:t>
      </w:r>
      <w:r w:rsidRPr="00A249E4">
        <w:rPr>
          <w:rFonts w:ascii="Times New Roman" w:hAnsi="Times New Roman"/>
          <w:spacing w:val="-3"/>
          <w:sz w:val="22"/>
          <w:szCs w:val="22"/>
        </w:rPr>
        <w:t xml:space="preserve">balance sheet now shows </w:t>
      </w:r>
      <w:r w:rsidR="005D439E" w:rsidRPr="00A249E4">
        <w:rPr>
          <w:rFonts w:ascii="Times New Roman" w:hAnsi="Times New Roman"/>
          <w:spacing w:val="-3"/>
          <w:sz w:val="22"/>
          <w:szCs w:val="22"/>
        </w:rPr>
        <w:t xml:space="preserve">illusory </w:t>
      </w:r>
      <w:r w:rsidRPr="00A249E4">
        <w:rPr>
          <w:rFonts w:ascii="Times New Roman" w:hAnsi="Times New Roman"/>
          <w:spacing w:val="-3"/>
          <w:sz w:val="22"/>
          <w:szCs w:val="22"/>
        </w:rPr>
        <w:t xml:space="preserve">decreased financial strength as the bond has essentially been marked to market at $85 but the insurance liabilities </w:t>
      </w:r>
      <w:r w:rsidR="005D439E" w:rsidRPr="00A249E4">
        <w:rPr>
          <w:rFonts w:ascii="Times New Roman" w:hAnsi="Times New Roman"/>
          <w:spacing w:val="-3"/>
          <w:sz w:val="22"/>
          <w:szCs w:val="22"/>
        </w:rPr>
        <w:t>are unchanged</w:t>
      </w:r>
      <w:r w:rsidRPr="00A249E4">
        <w:rPr>
          <w:rFonts w:ascii="Times New Roman" w:hAnsi="Times New Roman"/>
          <w:spacing w:val="-3"/>
          <w:sz w:val="22"/>
          <w:szCs w:val="22"/>
        </w:rPr>
        <w:t>.</w:t>
      </w:r>
      <w:r w:rsidR="00B24ECF">
        <w:rPr>
          <w:rFonts w:ascii="Times New Roman" w:hAnsi="Times New Roman"/>
          <w:spacing w:val="-3"/>
          <w:sz w:val="22"/>
          <w:szCs w:val="22"/>
        </w:rPr>
        <w:t xml:space="preserve"> </w:t>
      </w:r>
      <w:r w:rsidRPr="00A249E4">
        <w:rPr>
          <w:rFonts w:ascii="Times New Roman" w:hAnsi="Times New Roman"/>
          <w:spacing w:val="-3"/>
          <w:sz w:val="22"/>
          <w:szCs w:val="22"/>
        </w:rPr>
        <w:t xml:space="preserve">The company could still fund the liability by retaining and investing the increased </w:t>
      </w:r>
      <w:r w:rsidR="005D439E" w:rsidRPr="00A249E4">
        <w:rPr>
          <w:rFonts w:ascii="Times New Roman" w:hAnsi="Times New Roman"/>
          <w:spacing w:val="-3"/>
          <w:sz w:val="22"/>
          <w:szCs w:val="22"/>
        </w:rPr>
        <w:t xml:space="preserve">bond </w:t>
      </w:r>
      <w:r w:rsidRPr="00A249E4">
        <w:rPr>
          <w:rFonts w:ascii="Times New Roman" w:hAnsi="Times New Roman"/>
          <w:spacing w:val="-3"/>
          <w:sz w:val="22"/>
          <w:szCs w:val="22"/>
        </w:rPr>
        <w:t>coupon</w:t>
      </w:r>
      <w:r w:rsidR="005D439E" w:rsidRPr="00A249E4">
        <w:rPr>
          <w:rFonts w:ascii="Times New Roman" w:hAnsi="Times New Roman"/>
          <w:spacing w:val="-3"/>
          <w:sz w:val="22"/>
          <w:szCs w:val="22"/>
        </w:rPr>
        <w:t>s</w:t>
      </w:r>
      <w:r w:rsidRPr="00A249E4">
        <w:rPr>
          <w:rFonts w:ascii="Times New Roman" w:hAnsi="Times New Roman"/>
          <w:spacing w:val="-3"/>
          <w:sz w:val="22"/>
          <w:szCs w:val="22"/>
        </w:rPr>
        <w:t xml:space="preserve"> received.</w:t>
      </w:r>
      <w:r w:rsidR="00B24ECF">
        <w:rPr>
          <w:rFonts w:ascii="Times New Roman" w:hAnsi="Times New Roman"/>
          <w:spacing w:val="-3"/>
          <w:sz w:val="22"/>
          <w:szCs w:val="22"/>
        </w:rPr>
        <w:t xml:space="preserve"> </w:t>
      </w:r>
      <w:r w:rsidR="005D439E" w:rsidRPr="00A249E4">
        <w:rPr>
          <w:rFonts w:ascii="Times New Roman" w:hAnsi="Times New Roman"/>
          <w:spacing w:val="-3"/>
          <w:sz w:val="22"/>
          <w:szCs w:val="22"/>
        </w:rPr>
        <w:t xml:space="preserve">The total surplus </w:t>
      </w:r>
      <w:r w:rsidR="00F61206" w:rsidRPr="00A249E4">
        <w:rPr>
          <w:rFonts w:ascii="Times New Roman" w:hAnsi="Times New Roman"/>
          <w:spacing w:val="-3"/>
          <w:sz w:val="22"/>
          <w:szCs w:val="22"/>
        </w:rPr>
        <w:t>as the liability runs off would be</w:t>
      </w:r>
      <w:r w:rsidR="005D439E" w:rsidRPr="00A249E4">
        <w:rPr>
          <w:rFonts w:ascii="Times New Roman" w:hAnsi="Times New Roman"/>
          <w:spacing w:val="-3"/>
          <w:sz w:val="22"/>
          <w:szCs w:val="22"/>
        </w:rPr>
        <w:t>:</w:t>
      </w:r>
    </w:p>
    <w:p w14:paraId="1B144C37" w14:textId="4C501E03" w:rsidR="000A5EDA" w:rsidRPr="00A249E4" w:rsidRDefault="000A5EDA" w:rsidP="00D87FFD">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450"/>
        <w:jc w:val="both"/>
        <w:rPr>
          <w:rFonts w:ascii="Times New Roman" w:hAnsi="Times New Roman"/>
          <w:spacing w:val="-3"/>
          <w:sz w:val="22"/>
          <w:szCs w:val="22"/>
        </w:rPr>
      </w:pPr>
      <w:r w:rsidRPr="00A249E4">
        <w:rPr>
          <w:rFonts w:ascii="Times New Roman" w:hAnsi="Times New Roman"/>
          <w:spacing w:val="-3"/>
          <w:sz w:val="22"/>
          <w:szCs w:val="22"/>
        </w:rPr>
        <w:t xml:space="preserve">Total of yearly (40) and final (100) payments owed </w:t>
      </w:r>
      <w:r w:rsidR="00BA6AF7" w:rsidRPr="00A249E4">
        <w:rPr>
          <w:rFonts w:ascii="Times New Roman" w:hAnsi="Times New Roman"/>
          <w:spacing w:val="-3"/>
          <w:sz w:val="22"/>
          <w:szCs w:val="22"/>
        </w:rPr>
        <w:t>policy</w:t>
      </w:r>
      <w:r w:rsidR="00BA6AF7">
        <w:rPr>
          <w:rFonts w:ascii="Times New Roman" w:hAnsi="Times New Roman"/>
          <w:spacing w:val="-3"/>
          <w:sz w:val="22"/>
          <w:szCs w:val="22"/>
        </w:rPr>
        <w:t>holder</w:t>
      </w:r>
      <w:r w:rsidRPr="00A249E4">
        <w:rPr>
          <w:rFonts w:ascii="Times New Roman" w:hAnsi="Times New Roman"/>
          <w:spacing w:val="-3"/>
          <w:sz w:val="22"/>
          <w:szCs w:val="22"/>
        </w:rPr>
        <w:tab/>
      </w:r>
      <w:r w:rsidRPr="00A249E4">
        <w:rPr>
          <w:rFonts w:ascii="Times New Roman" w:hAnsi="Times New Roman"/>
          <w:spacing w:val="-3"/>
          <w:sz w:val="22"/>
          <w:szCs w:val="22"/>
        </w:rPr>
        <w:tab/>
        <w:t>(140)</w:t>
      </w:r>
    </w:p>
    <w:p w14:paraId="74BCA6C7" w14:textId="389C49B5" w:rsidR="000A5EDA" w:rsidRPr="00A249E4" w:rsidRDefault="000A5EDA" w:rsidP="00D87FFD">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450"/>
        <w:jc w:val="both"/>
        <w:rPr>
          <w:rFonts w:ascii="Times New Roman" w:hAnsi="Times New Roman"/>
          <w:spacing w:val="-3"/>
          <w:sz w:val="22"/>
          <w:szCs w:val="22"/>
        </w:rPr>
      </w:pPr>
      <w:r w:rsidRPr="00A249E4">
        <w:rPr>
          <w:rFonts w:ascii="Times New Roman" w:hAnsi="Times New Roman"/>
          <w:spacing w:val="-3"/>
          <w:sz w:val="22"/>
          <w:szCs w:val="22"/>
        </w:rPr>
        <w:t>Total bond interest payments (5</w:t>
      </w:r>
      <w:r w:rsidR="00993485" w:rsidRPr="00A249E4">
        <w:rPr>
          <w:rFonts w:ascii="Times New Roman" w:hAnsi="Times New Roman"/>
          <w:spacing w:val="-3"/>
          <w:sz w:val="22"/>
          <w:szCs w:val="22"/>
        </w:rPr>
        <w:t>5*</w:t>
      </w:r>
      <w:r w:rsidRPr="00A249E4">
        <w:rPr>
          <w:rFonts w:ascii="Times New Roman" w:hAnsi="Times New Roman"/>
          <w:spacing w:val="-3"/>
          <w:sz w:val="22"/>
          <w:szCs w:val="22"/>
        </w:rPr>
        <w:t>) and maturity (85)</w:t>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t xml:space="preserve"> 1</w:t>
      </w:r>
      <w:r w:rsidR="00933360" w:rsidRPr="00A249E4">
        <w:rPr>
          <w:rFonts w:ascii="Times New Roman" w:hAnsi="Times New Roman"/>
          <w:spacing w:val="-3"/>
          <w:sz w:val="22"/>
          <w:szCs w:val="22"/>
        </w:rPr>
        <w:t>4</w:t>
      </w:r>
      <w:r w:rsidRPr="00A249E4">
        <w:rPr>
          <w:rFonts w:ascii="Times New Roman" w:hAnsi="Times New Roman"/>
          <w:spacing w:val="-3"/>
          <w:sz w:val="22"/>
          <w:szCs w:val="22"/>
        </w:rPr>
        <w:t>0</w:t>
      </w:r>
    </w:p>
    <w:p w14:paraId="04572778" w14:textId="5EC47ED1" w:rsidR="000A5EDA" w:rsidRPr="00A249E4" w:rsidRDefault="000A5EDA" w:rsidP="00D87FFD">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450"/>
        <w:jc w:val="both"/>
        <w:rPr>
          <w:rFonts w:ascii="Times New Roman" w:hAnsi="Times New Roman"/>
          <w:spacing w:val="-3"/>
          <w:sz w:val="22"/>
          <w:szCs w:val="22"/>
        </w:rPr>
      </w:pPr>
      <w:r w:rsidRPr="00A249E4">
        <w:rPr>
          <w:rFonts w:ascii="Times New Roman" w:hAnsi="Times New Roman"/>
          <w:spacing w:val="-3"/>
          <w:sz w:val="22"/>
          <w:szCs w:val="22"/>
        </w:rPr>
        <w:t>Total equity sale</w:t>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u w:val="single"/>
        </w:rPr>
        <w:t xml:space="preserve">   10</w:t>
      </w:r>
      <w:r w:rsidRPr="00A249E4">
        <w:rPr>
          <w:rFonts w:ascii="Times New Roman" w:hAnsi="Times New Roman"/>
          <w:spacing w:val="-3"/>
          <w:sz w:val="22"/>
          <w:szCs w:val="22"/>
        </w:rPr>
        <w:tab/>
      </w:r>
    </w:p>
    <w:p w14:paraId="1E91CDC9" w14:textId="1D1C093F" w:rsidR="000A5EDA" w:rsidRPr="00A249E4" w:rsidRDefault="000A5EDA" w:rsidP="00D87FFD">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450"/>
        <w:jc w:val="both"/>
        <w:rPr>
          <w:rFonts w:ascii="Times New Roman" w:hAnsi="Times New Roman"/>
          <w:spacing w:val="-3"/>
          <w:sz w:val="22"/>
          <w:szCs w:val="22"/>
        </w:rPr>
      </w:pPr>
      <w:r w:rsidRPr="00A249E4">
        <w:rPr>
          <w:rFonts w:ascii="Times New Roman" w:hAnsi="Times New Roman"/>
          <w:spacing w:val="-3"/>
          <w:sz w:val="22"/>
          <w:szCs w:val="22"/>
        </w:rPr>
        <w:t xml:space="preserve">    Total </w:t>
      </w:r>
      <w:r w:rsidR="00933360" w:rsidRPr="00A249E4">
        <w:rPr>
          <w:rFonts w:ascii="Times New Roman" w:hAnsi="Times New Roman"/>
          <w:spacing w:val="-3"/>
          <w:sz w:val="22"/>
          <w:szCs w:val="22"/>
        </w:rPr>
        <w:t>surplus</w:t>
      </w:r>
      <w:r w:rsidRPr="00A249E4">
        <w:rPr>
          <w:rFonts w:ascii="Times New Roman" w:hAnsi="Times New Roman"/>
          <w:spacing w:val="-3"/>
          <w:sz w:val="22"/>
          <w:szCs w:val="22"/>
        </w:rPr>
        <w:t xml:space="preserve"> including after sale of surplus assets</w:t>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rPr>
        <w:tab/>
      </w:r>
      <w:r w:rsidRPr="00A249E4">
        <w:rPr>
          <w:rFonts w:ascii="Times New Roman" w:hAnsi="Times New Roman"/>
          <w:spacing w:val="-3"/>
          <w:sz w:val="22"/>
          <w:szCs w:val="22"/>
          <w:u w:val="double"/>
        </w:rPr>
        <w:t xml:space="preserve"> </w:t>
      </w:r>
      <w:r w:rsidR="00933360" w:rsidRPr="00A249E4">
        <w:rPr>
          <w:rFonts w:ascii="Times New Roman" w:hAnsi="Times New Roman"/>
          <w:spacing w:val="-3"/>
          <w:sz w:val="22"/>
          <w:szCs w:val="22"/>
          <w:u w:val="double"/>
        </w:rPr>
        <w:t xml:space="preserve">  </w:t>
      </w:r>
      <w:r w:rsidRPr="00A249E4">
        <w:rPr>
          <w:rFonts w:ascii="Times New Roman" w:hAnsi="Times New Roman"/>
          <w:spacing w:val="-3"/>
          <w:sz w:val="22"/>
          <w:szCs w:val="22"/>
          <w:u w:val="double"/>
        </w:rPr>
        <w:t>10</w:t>
      </w:r>
    </w:p>
    <w:p w14:paraId="735DF9B0" w14:textId="77777777" w:rsidR="00993485" w:rsidRPr="00A249E4" w:rsidRDefault="00993485" w:rsidP="00FC43C8">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715412CB" w14:textId="2D6B1398" w:rsidR="000A5EDA" w:rsidRPr="00A4186D" w:rsidRDefault="00993485" w:rsidP="00A4186D">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450"/>
        <w:jc w:val="both"/>
        <w:rPr>
          <w:rFonts w:ascii="Times New Roman" w:hAnsi="Times New Roman"/>
          <w:spacing w:val="-3"/>
          <w:sz w:val="18"/>
          <w:szCs w:val="18"/>
        </w:rPr>
      </w:pPr>
      <w:r w:rsidRPr="00A4186D">
        <w:rPr>
          <w:rFonts w:ascii="Times New Roman" w:hAnsi="Times New Roman"/>
          <w:spacing w:val="-3"/>
          <w:sz w:val="18"/>
          <w:szCs w:val="18"/>
        </w:rPr>
        <w:t xml:space="preserve">*10 payments of $5.10 </w:t>
      </w:r>
      <w:r w:rsidR="00D87FFD" w:rsidRPr="00A4186D">
        <w:rPr>
          <w:rFonts w:ascii="Times New Roman" w:hAnsi="Times New Roman"/>
          <w:spacing w:val="-3"/>
          <w:sz w:val="18"/>
          <w:szCs w:val="18"/>
        </w:rPr>
        <w:t xml:space="preserve">($85 x 6%) </w:t>
      </w:r>
      <w:r w:rsidRPr="00A4186D">
        <w:rPr>
          <w:rFonts w:ascii="Times New Roman" w:hAnsi="Times New Roman"/>
          <w:spacing w:val="-3"/>
          <w:sz w:val="18"/>
          <w:szCs w:val="18"/>
        </w:rPr>
        <w:t xml:space="preserve">plus approximately $4 of </w:t>
      </w:r>
      <w:r w:rsidR="00D87FFD" w:rsidRPr="00A4186D">
        <w:rPr>
          <w:rFonts w:ascii="Times New Roman" w:hAnsi="Times New Roman"/>
          <w:spacing w:val="-3"/>
          <w:sz w:val="18"/>
          <w:szCs w:val="18"/>
        </w:rPr>
        <w:t xml:space="preserve">interest </w:t>
      </w:r>
      <w:r w:rsidRPr="00A4186D">
        <w:rPr>
          <w:rFonts w:ascii="Times New Roman" w:hAnsi="Times New Roman"/>
          <w:spacing w:val="-3"/>
          <w:sz w:val="18"/>
          <w:szCs w:val="18"/>
        </w:rPr>
        <w:t>earning</w:t>
      </w:r>
      <w:r w:rsidR="00D87FFD" w:rsidRPr="00A4186D">
        <w:rPr>
          <w:rFonts w:ascii="Times New Roman" w:hAnsi="Times New Roman"/>
          <w:spacing w:val="-3"/>
          <w:sz w:val="18"/>
          <w:szCs w:val="18"/>
        </w:rPr>
        <w:t>s from</w:t>
      </w:r>
      <w:r w:rsidRPr="00A4186D">
        <w:rPr>
          <w:rFonts w:ascii="Times New Roman" w:hAnsi="Times New Roman"/>
          <w:spacing w:val="-3"/>
          <w:sz w:val="18"/>
          <w:szCs w:val="18"/>
        </w:rPr>
        <w:t xml:space="preserve"> investing the </w:t>
      </w:r>
      <w:r w:rsidR="0028495C" w:rsidRPr="00A4186D">
        <w:rPr>
          <w:rFonts w:ascii="Times New Roman" w:hAnsi="Times New Roman"/>
          <w:spacing w:val="-3"/>
          <w:sz w:val="18"/>
          <w:szCs w:val="18"/>
        </w:rPr>
        <w:t xml:space="preserve">annual </w:t>
      </w:r>
      <w:r w:rsidRPr="00A4186D">
        <w:rPr>
          <w:rFonts w:ascii="Times New Roman" w:hAnsi="Times New Roman"/>
          <w:spacing w:val="-3"/>
          <w:sz w:val="18"/>
          <w:szCs w:val="18"/>
        </w:rPr>
        <w:t>excess of the coupon payment</w:t>
      </w:r>
      <w:r w:rsidR="00D87FFD" w:rsidRPr="00A4186D">
        <w:rPr>
          <w:rFonts w:ascii="Times New Roman" w:hAnsi="Times New Roman"/>
          <w:spacing w:val="-3"/>
          <w:sz w:val="18"/>
          <w:szCs w:val="18"/>
        </w:rPr>
        <w:t>s the new bond generates</w:t>
      </w:r>
      <w:r w:rsidRPr="00A4186D">
        <w:rPr>
          <w:rFonts w:ascii="Times New Roman" w:hAnsi="Times New Roman"/>
          <w:spacing w:val="-3"/>
          <w:sz w:val="18"/>
          <w:szCs w:val="18"/>
        </w:rPr>
        <w:t xml:space="preserve"> ($5.10)</w:t>
      </w:r>
      <w:r w:rsidR="00D87FFD" w:rsidRPr="00A4186D">
        <w:rPr>
          <w:rFonts w:ascii="Times New Roman" w:hAnsi="Times New Roman"/>
          <w:spacing w:val="-3"/>
          <w:sz w:val="18"/>
          <w:szCs w:val="18"/>
        </w:rPr>
        <w:t xml:space="preserve"> </w:t>
      </w:r>
      <w:r w:rsidR="00F97853">
        <w:rPr>
          <w:rFonts w:ascii="Times New Roman" w:hAnsi="Times New Roman"/>
          <w:spacing w:val="-3"/>
          <w:sz w:val="18"/>
          <w:szCs w:val="18"/>
        </w:rPr>
        <w:t>from that paid to the policyholder</w:t>
      </w:r>
      <w:r w:rsidR="00D87FFD" w:rsidRPr="00A4186D">
        <w:rPr>
          <w:rFonts w:ascii="Times New Roman" w:hAnsi="Times New Roman"/>
          <w:spacing w:val="-3"/>
          <w:sz w:val="18"/>
          <w:szCs w:val="18"/>
        </w:rPr>
        <w:t xml:space="preserve"> </w:t>
      </w:r>
      <w:r w:rsidR="00FF6035">
        <w:rPr>
          <w:rFonts w:ascii="Times New Roman" w:hAnsi="Times New Roman"/>
          <w:spacing w:val="-3"/>
          <w:sz w:val="18"/>
          <w:szCs w:val="18"/>
        </w:rPr>
        <w:t>(</w:t>
      </w:r>
      <w:r w:rsidR="00D87FFD" w:rsidRPr="00A4186D">
        <w:rPr>
          <w:rFonts w:ascii="Times New Roman" w:hAnsi="Times New Roman"/>
          <w:spacing w:val="-3"/>
          <w:sz w:val="18"/>
          <w:szCs w:val="18"/>
        </w:rPr>
        <w:t>$4</w:t>
      </w:r>
      <w:r w:rsidR="00FF6035">
        <w:rPr>
          <w:rFonts w:ascii="Times New Roman" w:hAnsi="Times New Roman"/>
          <w:spacing w:val="-3"/>
          <w:sz w:val="18"/>
          <w:szCs w:val="18"/>
        </w:rPr>
        <w:t>)</w:t>
      </w:r>
      <w:r w:rsidRPr="00A4186D">
        <w:rPr>
          <w:rFonts w:ascii="Times New Roman" w:hAnsi="Times New Roman"/>
          <w:spacing w:val="-3"/>
          <w:sz w:val="18"/>
          <w:szCs w:val="18"/>
        </w:rPr>
        <w:t>.</w:t>
      </w:r>
    </w:p>
    <w:p w14:paraId="758A1FD7" w14:textId="77777777" w:rsidR="00CF2C40" w:rsidRPr="00A249E4" w:rsidRDefault="00CF2C40" w:rsidP="00401352">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01353971" w14:textId="03AB59D3" w:rsidR="00993485" w:rsidRPr="00A249E4" w:rsidRDefault="00993485"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Just like in Example </w:t>
      </w:r>
      <w:r w:rsidR="00BF1362" w:rsidRPr="00A249E4">
        <w:rPr>
          <w:rFonts w:ascii="Times New Roman" w:hAnsi="Times New Roman"/>
          <w:spacing w:val="-3"/>
          <w:sz w:val="22"/>
          <w:szCs w:val="22"/>
        </w:rPr>
        <w:t>1</w:t>
      </w:r>
      <w:r w:rsidRPr="00A249E4">
        <w:rPr>
          <w:rFonts w:ascii="Times New Roman" w:hAnsi="Times New Roman"/>
          <w:spacing w:val="-3"/>
          <w:sz w:val="22"/>
          <w:szCs w:val="22"/>
        </w:rPr>
        <w:t xml:space="preserve">, the inappropriate portrayal of solvency in </w:t>
      </w:r>
      <w:r w:rsidR="005D439E" w:rsidRPr="00A249E4">
        <w:rPr>
          <w:rFonts w:ascii="Times New Roman" w:hAnsi="Times New Roman"/>
          <w:spacing w:val="-3"/>
          <w:sz w:val="22"/>
          <w:szCs w:val="22"/>
        </w:rPr>
        <w:t xml:space="preserve">this example </w:t>
      </w:r>
      <w:r w:rsidRPr="00A249E4">
        <w:rPr>
          <w:rFonts w:ascii="Times New Roman" w:hAnsi="Times New Roman"/>
          <w:spacing w:val="-3"/>
          <w:sz w:val="22"/>
          <w:szCs w:val="22"/>
        </w:rPr>
        <w:t xml:space="preserve">would </w:t>
      </w:r>
      <w:r w:rsidR="0069671B" w:rsidRPr="00A249E4">
        <w:rPr>
          <w:rFonts w:ascii="Times New Roman" w:hAnsi="Times New Roman"/>
          <w:spacing w:val="-3"/>
          <w:sz w:val="22"/>
          <w:szCs w:val="22"/>
        </w:rPr>
        <w:t>not</w:t>
      </w:r>
      <w:r w:rsidRPr="00A249E4">
        <w:rPr>
          <w:rFonts w:ascii="Times New Roman" w:hAnsi="Times New Roman"/>
          <w:spacing w:val="-3"/>
          <w:sz w:val="22"/>
          <w:szCs w:val="22"/>
        </w:rPr>
        <w:t xml:space="preserve"> occur</w:t>
      </w:r>
      <w:r w:rsidR="00014B46" w:rsidRPr="00A249E4">
        <w:rPr>
          <w:rFonts w:ascii="Times New Roman" w:hAnsi="Times New Roman"/>
          <w:spacing w:val="-3"/>
          <w:sz w:val="22"/>
          <w:szCs w:val="22"/>
        </w:rPr>
        <w:t xml:space="preserve"> after </w:t>
      </w:r>
      <w:r w:rsidR="000C1F1E" w:rsidRPr="00A249E4">
        <w:rPr>
          <w:rFonts w:ascii="Times New Roman" w:hAnsi="Times New Roman"/>
          <w:spacing w:val="-3"/>
          <w:sz w:val="22"/>
          <w:szCs w:val="22"/>
        </w:rPr>
        <w:t>inclu</w:t>
      </w:r>
      <w:r w:rsidR="00014B46" w:rsidRPr="00A249E4">
        <w:rPr>
          <w:rFonts w:ascii="Times New Roman" w:hAnsi="Times New Roman"/>
          <w:spacing w:val="-3"/>
          <w:sz w:val="22"/>
          <w:szCs w:val="22"/>
        </w:rPr>
        <w:t>ding</w:t>
      </w:r>
      <w:r w:rsidR="000C1F1E" w:rsidRPr="00A249E4">
        <w:rPr>
          <w:rFonts w:ascii="Times New Roman" w:hAnsi="Times New Roman"/>
          <w:spacing w:val="-3"/>
          <w:sz w:val="22"/>
          <w:szCs w:val="22"/>
        </w:rPr>
        <w:t xml:space="preserve"> IMR</w:t>
      </w:r>
      <w:r w:rsidRPr="00A249E4">
        <w:rPr>
          <w:rFonts w:ascii="Times New Roman" w:hAnsi="Times New Roman"/>
          <w:spacing w:val="-3"/>
          <w:sz w:val="22"/>
          <w:szCs w:val="22"/>
        </w:rPr>
        <w:t>, a</w:t>
      </w:r>
      <w:r w:rsidR="0069671B" w:rsidRPr="00A249E4">
        <w:rPr>
          <w:rFonts w:ascii="Times New Roman" w:hAnsi="Times New Roman"/>
          <w:spacing w:val="-3"/>
          <w:sz w:val="22"/>
          <w:szCs w:val="22"/>
        </w:rPr>
        <w:t>nd</w:t>
      </w:r>
      <w:r w:rsidRPr="00A249E4">
        <w:rPr>
          <w:rFonts w:ascii="Times New Roman" w:hAnsi="Times New Roman"/>
          <w:spacing w:val="-3"/>
          <w:sz w:val="22"/>
          <w:szCs w:val="22"/>
        </w:rPr>
        <w:t xml:space="preserve"> the balance sheet would look </w:t>
      </w:r>
      <w:r w:rsidR="00014B46" w:rsidRPr="00A249E4">
        <w:rPr>
          <w:rFonts w:ascii="Times New Roman" w:hAnsi="Times New Roman"/>
          <w:spacing w:val="-3"/>
          <w:sz w:val="22"/>
          <w:szCs w:val="22"/>
        </w:rPr>
        <w:t>like Figure F</w:t>
      </w:r>
      <w:r w:rsidR="00CE0B3C" w:rsidRPr="00A249E4">
        <w:rPr>
          <w:rFonts w:ascii="Times New Roman" w:hAnsi="Times New Roman"/>
          <w:spacing w:val="-3"/>
          <w:sz w:val="22"/>
          <w:szCs w:val="22"/>
        </w:rPr>
        <w:t>.</w:t>
      </w:r>
    </w:p>
    <w:p w14:paraId="2643CB2D" w14:textId="551367E7" w:rsidR="00933360" w:rsidRDefault="00933360"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6485F3EA" w14:textId="01EB4089" w:rsidR="00A249E4" w:rsidRDefault="00A249E4"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39178A28" w14:textId="490B44B8" w:rsidR="00A249E4" w:rsidRDefault="00A249E4"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50582B9F" w14:textId="3FBCFFE3" w:rsidR="00FE6C0A" w:rsidRDefault="00FE6C0A"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50B17B89" w14:textId="77777777" w:rsidR="00FE6C0A" w:rsidRDefault="00FE6C0A"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66FF3B95" w14:textId="689DAC7A" w:rsidR="00A249E4" w:rsidRDefault="00A249E4"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03EEAD00" w14:textId="77777777" w:rsidR="00A249E4" w:rsidRPr="00A249E4" w:rsidRDefault="00A249E4"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bl>
      <w:tblPr>
        <w:tblStyle w:val="TableGrid"/>
        <w:tblW w:w="0" w:type="auto"/>
        <w:tblLook w:val="04A0" w:firstRow="1" w:lastRow="0" w:firstColumn="1" w:lastColumn="0" w:noHBand="0" w:noVBand="1"/>
      </w:tblPr>
      <w:tblGrid>
        <w:gridCol w:w="4675"/>
        <w:gridCol w:w="4675"/>
      </w:tblGrid>
      <w:tr w:rsidR="00993485" w:rsidRPr="00A249E4" w14:paraId="2C675C5E" w14:textId="77777777" w:rsidTr="00F23DBC">
        <w:tc>
          <w:tcPr>
            <w:tcW w:w="9350" w:type="dxa"/>
            <w:gridSpan w:val="2"/>
          </w:tcPr>
          <w:p w14:paraId="3659C1AA" w14:textId="5875B011" w:rsidR="00993485" w:rsidRPr="00A249E4" w:rsidRDefault="005D439E"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Figure F</w:t>
            </w:r>
          </w:p>
        </w:tc>
      </w:tr>
      <w:tr w:rsidR="00993485" w:rsidRPr="00A249E4" w14:paraId="03C85FD8" w14:textId="77777777" w:rsidTr="00F23DBC">
        <w:tc>
          <w:tcPr>
            <w:tcW w:w="4675" w:type="dxa"/>
          </w:tcPr>
          <w:p w14:paraId="144F522D" w14:textId="77777777" w:rsidR="00993485" w:rsidRPr="00A249E4" w:rsidRDefault="00993485"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Assets</w:t>
            </w:r>
          </w:p>
        </w:tc>
        <w:tc>
          <w:tcPr>
            <w:tcW w:w="4675" w:type="dxa"/>
          </w:tcPr>
          <w:p w14:paraId="42103B86" w14:textId="77777777" w:rsidR="00993485" w:rsidRPr="00A249E4" w:rsidRDefault="00993485"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Liabilities and Surplus</w:t>
            </w:r>
          </w:p>
        </w:tc>
      </w:tr>
      <w:tr w:rsidR="00993485" w:rsidRPr="00A249E4" w14:paraId="062963F5" w14:textId="77777777" w:rsidTr="00F23DBC">
        <w:tc>
          <w:tcPr>
            <w:tcW w:w="4675" w:type="dxa"/>
          </w:tcPr>
          <w:p w14:paraId="74F2FDE8" w14:textId="327D85AC" w:rsidR="00993485" w:rsidRPr="00A249E4" w:rsidRDefault="00993485"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Bonds                          85             </w:t>
            </w:r>
          </w:p>
          <w:p w14:paraId="633B27E1" w14:textId="21C652BB" w:rsidR="00933360" w:rsidRPr="00A249E4" w:rsidRDefault="00933360"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IMR</w:t>
            </w:r>
            <w:r w:rsidR="00BC00D5">
              <w:rPr>
                <w:rFonts w:ascii="Times New Roman" w:hAnsi="Times New Roman"/>
                <w:spacing w:val="-3"/>
                <w:sz w:val="22"/>
                <w:szCs w:val="22"/>
              </w:rPr>
              <w:t>*</w:t>
            </w:r>
            <w:r w:rsidRPr="00A249E4">
              <w:rPr>
                <w:rFonts w:ascii="Times New Roman" w:hAnsi="Times New Roman"/>
                <w:spacing w:val="-3"/>
                <w:sz w:val="22"/>
                <w:szCs w:val="22"/>
              </w:rPr>
              <w:t xml:space="preserve">                           15</w:t>
            </w:r>
          </w:p>
          <w:p w14:paraId="2903AD7C" w14:textId="11D63EFD" w:rsidR="00993485" w:rsidRPr="00A249E4" w:rsidRDefault="00993485"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Equities                    </w:t>
            </w:r>
            <w:r w:rsidRPr="00A249E4">
              <w:rPr>
                <w:rFonts w:ascii="Times New Roman" w:hAnsi="Times New Roman"/>
                <w:spacing w:val="-3"/>
                <w:sz w:val="22"/>
                <w:szCs w:val="22"/>
                <w:u w:val="single"/>
              </w:rPr>
              <w:t xml:space="preserve">   10</w:t>
            </w:r>
          </w:p>
          <w:p w14:paraId="0D233FCC" w14:textId="52CA865A" w:rsidR="00993485" w:rsidRPr="00A249E4" w:rsidRDefault="00993485"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   Total Assets          </w:t>
            </w:r>
            <w:r w:rsidRPr="00A249E4">
              <w:rPr>
                <w:rFonts w:ascii="Times New Roman" w:hAnsi="Times New Roman"/>
                <w:spacing w:val="-3"/>
                <w:sz w:val="22"/>
                <w:szCs w:val="22"/>
                <w:u w:val="double"/>
              </w:rPr>
              <w:t xml:space="preserve"> </w:t>
            </w:r>
            <w:r w:rsidR="00933360" w:rsidRPr="00A249E4">
              <w:rPr>
                <w:rFonts w:ascii="Times New Roman" w:hAnsi="Times New Roman"/>
                <w:spacing w:val="-3"/>
                <w:sz w:val="22"/>
                <w:szCs w:val="22"/>
                <w:u w:val="double"/>
              </w:rPr>
              <w:t>110</w:t>
            </w:r>
            <w:r w:rsidRPr="00A249E4">
              <w:rPr>
                <w:rFonts w:ascii="Times New Roman" w:hAnsi="Times New Roman"/>
                <w:spacing w:val="-3"/>
                <w:sz w:val="22"/>
                <w:szCs w:val="22"/>
              </w:rPr>
              <w:t xml:space="preserve"> </w:t>
            </w:r>
          </w:p>
          <w:p w14:paraId="1C532F1B" w14:textId="77777777" w:rsidR="00993485" w:rsidRPr="00A249E4" w:rsidRDefault="00993485"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c>
        <w:tc>
          <w:tcPr>
            <w:tcW w:w="4675" w:type="dxa"/>
          </w:tcPr>
          <w:p w14:paraId="27EE2523" w14:textId="77777777" w:rsidR="00993485" w:rsidRPr="00A249E4" w:rsidRDefault="00993485"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Insurance liability                   100</w:t>
            </w:r>
          </w:p>
          <w:p w14:paraId="63F5FC42" w14:textId="77777777" w:rsidR="00993485" w:rsidRPr="00A249E4" w:rsidRDefault="00993485"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rPr>
              <w:t xml:space="preserve">Surplus                                    </w:t>
            </w:r>
            <w:r w:rsidRPr="00A249E4">
              <w:rPr>
                <w:rFonts w:ascii="Times New Roman" w:hAnsi="Times New Roman"/>
                <w:spacing w:val="-3"/>
                <w:sz w:val="22"/>
                <w:szCs w:val="22"/>
                <w:u w:val="single"/>
              </w:rPr>
              <w:t xml:space="preserve">  10</w:t>
            </w:r>
          </w:p>
          <w:p w14:paraId="6EDB6CE1" w14:textId="4077CCB7" w:rsidR="00993485" w:rsidRPr="00A249E4" w:rsidRDefault="00993485"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double"/>
              </w:rPr>
            </w:pPr>
            <w:r w:rsidRPr="00A249E4">
              <w:rPr>
                <w:rFonts w:ascii="Times New Roman" w:hAnsi="Times New Roman"/>
                <w:spacing w:val="-3"/>
                <w:sz w:val="22"/>
                <w:szCs w:val="22"/>
              </w:rPr>
              <w:t xml:space="preserve">   Liabilities &amp; Surplus           </w:t>
            </w:r>
            <w:r w:rsidR="00933360" w:rsidRPr="00A249E4">
              <w:rPr>
                <w:rFonts w:ascii="Times New Roman" w:hAnsi="Times New Roman"/>
                <w:spacing w:val="-3"/>
                <w:sz w:val="22"/>
                <w:szCs w:val="22"/>
                <w:u w:val="double"/>
              </w:rPr>
              <w:t>110</w:t>
            </w:r>
          </w:p>
          <w:p w14:paraId="72ECEC12" w14:textId="77777777" w:rsidR="00993485" w:rsidRPr="00A249E4" w:rsidRDefault="00993485" w:rsidP="00F23DBC">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c>
      </w:tr>
    </w:tbl>
    <w:p w14:paraId="0BE9853E" w14:textId="215B70B0" w:rsidR="002A7519" w:rsidRPr="00A4186D" w:rsidRDefault="00993485"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18"/>
          <w:szCs w:val="18"/>
        </w:rPr>
      </w:pPr>
      <w:r w:rsidRPr="00A4186D">
        <w:rPr>
          <w:rFonts w:ascii="Times New Roman" w:hAnsi="Times New Roman"/>
          <w:spacing w:val="-3"/>
          <w:sz w:val="18"/>
          <w:szCs w:val="18"/>
        </w:rPr>
        <w:t>*</w:t>
      </w:r>
      <w:r w:rsidR="001D1617" w:rsidRPr="00A4186D">
        <w:rPr>
          <w:rFonts w:ascii="Times New Roman" w:hAnsi="Times New Roman"/>
          <w:spacing w:val="-3"/>
          <w:sz w:val="18"/>
          <w:szCs w:val="18"/>
        </w:rPr>
        <w:t xml:space="preserve"> </w:t>
      </w:r>
      <w:r w:rsidR="008B2C1E" w:rsidRPr="00A4186D">
        <w:rPr>
          <w:rFonts w:ascii="Times New Roman" w:hAnsi="Times New Roman"/>
          <w:spacing w:val="-3"/>
          <w:sz w:val="18"/>
          <w:szCs w:val="18"/>
        </w:rPr>
        <w:t>For these examples, it is i</w:t>
      </w:r>
      <w:r w:rsidRPr="00A4186D">
        <w:rPr>
          <w:rFonts w:ascii="Times New Roman" w:hAnsi="Times New Roman"/>
          <w:spacing w:val="-3"/>
          <w:sz w:val="18"/>
          <w:szCs w:val="18"/>
        </w:rPr>
        <w:t xml:space="preserve">nconsequential whether </w:t>
      </w:r>
      <w:r w:rsidR="00984692">
        <w:rPr>
          <w:rFonts w:ascii="Times New Roman" w:hAnsi="Times New Roman"/>
          <w:spacing w:val="-3"/>
          <w:sz w:val="18"/>
          <w:szCs w:val="18"/>
        </w:rPr>
        <w:t xml:space="preserve">negative </w:t>
      </w:r>
      <w:r w:rsidR="001D1617" w:rsidRPr="00A4186D">
        <w:rPr>
          <w:rFonts w:ascii="Times New Roman" w:hAnsi="Times New Roman"/>
          <w:spacing w:val="-3"/>
          <w:sz w:val="18"/>
          <w:szCs w:val="18"/>
        </w:rPr>
        <w:t xml:space="preserve">IMR </w:t>
      </w:r>
      <w:r w:rsidR="001A2B36" w:rsidRPr="00A4186D">
        <w:rPr>
          <w:rFonts w:ascii="Times New Roman" w:hAnsi="Times New Roman"/>
          <w:spacing w:val="-3"/>
          <w:sz w:val="18"/>
          <w:szCs w:val="18"/>
        </w:rPr>
        <w:t xml:space="preserve">is reported </w:t>
      </w:r>
      <w:r w:rsidR="002A7519" w:rsidRPr="00A4186D">
        <w:rPr>
          <w:rFonts w:ascii="Times New Roman" w:hAnsi="Times New Roman"/>
          <w:spacing w:val="-3"/>
          <w:sz w:val="18"/>
          <w:szCs w:val="18"/>
        </w:rPr>
        <w:t>an asset</w:t>
      </w:r>
      <w:r w:rsidR="001A2B36" w:rsidRPr="00A4186D">
        <w:rPr>
          <w:rFonts w:ascii="Times New Roman" w:hAnsi="Times New Roman"/>
          <w:spacing w:val="-3"/>
          <w:sz w:val="18"/>
          <w:szCs w:val="18"/>
        </w:rPr>
        <w:t xml:space="preserve"> or </w:t>
      </w:r>
      <w:r w:rsidR="00984692">
        <w:rPr>
          <w:rFonts w:ascii="Times New Roman" w:hAnsi="Times New Roman"/>
          <w:spacing w:val="-3"/>
          <w:sz w:val="18"/>
          <w:szCs w:val="18"/>
        </w:rPr>
        <w:t>contra</w:t>
      </w:r>
      <w:r w:rsidR="00912FAA" w:rsidRPr="00A4186D">
        <w:rPr>
          <w:rFonts w:ascii="Times New Roman" w:hAnsi="Times New Roman"/>
          <w:spacing w:val="-3"/>
          <w:sz w:val="18"/>
          <w:szCs w:val="18"/>
        </w:rPr>
        <w:t xml:space="preserve"> liability</w:t>
      </w:r>
      <w:r w:rsidR="009B4E6E">
        <w:rPr>
          <w:rFonts w:ascii="Times New Roman" w:hAnsi="Times New Roman"/>
          <w:spacing w:val="-3"/>
          <w:sz w:val="18"/>
          <w:szCs w:val="18"/>
        </w:rPr>
        <w:t xml:space="preserve">. It is placed here as an asset for </w:t>
      </w:r>
      <w:r w:rsidR="00984692">
        <w:rPr>
          <w:rFonts w:ascii="Times New Roman" w:hAnsi="Times New Roman"/>
          <w:spacing w:val="-3"/>
          <w:sz w:val="18"/>
          <w:szCs w:val="18"/>
        </w:rPr>
        <w:t xml:space="preserve">illustrative </w:t>
      </w:r>
      <w:r w:rsidR="009B4E6E">
        <w:rPr>
          <w:rFonts w:ascii="Times New Roman" w:hAnsi="Times New Roman"/>
          <w:spacing w:val="-3"/>
          <w:sz w:val="18"/>
          <w:szCs w:val="18"/>
        </w:rPr>
        <w:t>purposes only</w:t>
      </w:r>
      <w:r w:rsidR="001A2B36" w:rsidRPr="00A4186D">
        <w:rPr>
          <w:rFonts w:ascii="Times New Roman" w:hAnsi="Times New Roman"/>
          <w:spacing w:val="-3"/>
          <w:sz w:val="18"/>
          <w:szCs w:val="18"/>
        </w:rPr>
        <w:t>.</w:t>
      </w:r>
      <w:r w:rsidR="00933360" w:rsidRPr="00A4186D">
        <w:rPr>
          <w:rFonts w:ascii="Times New Roman" w:hAnsi="Times New Roman"/>
          <w:spacing w:val="-3"/>
          <w:sz w:val="18"/>
          <w:szCs w:val="18"/>
        </w:rPr>
        <w:t xml:space="preserve">  </w:t>
      </w:r>
    </w:p>
    <w:p w14:paraId="75FD4382" w14:textId="52DC6EE7" w:rsidR="005D439E" w:rsidRPr="00A249E4" w:rsidRDefault="005D439E"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73906330" w14:textId="5460BC28" w:rsidR="005D439E" w:rsidRPr="00A249E4" w:rsidRDefault="00B63930"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Prior to selling the </w:t>
      </w:r>
      <w:r w:rsidR="00252C75" w:rsidRPr="00A249E4">
        <w:rPr>
          <w:rFonts w:ascii="Times New Roman" w:hAnsi="Times New Roman"/>
          <w:spacing w:val="-3"/>
          <w:sz w:val="22"/>
          <w:szCs w:val="22"/>
        </w:rPr>
        <w:t xml:space="preserve">original </w:t>
      </w:r>
      <w:r w:rsidRPr="00A249E4">
        <w:rPr>
          <w:rFonts w:ascii="Times New Roman" w:hAnsi="Times New Roman"/>
          <w:spacing w:val="-3"/>
          <w:sz w:val="22"/>
          <w:szCs w:val="22"/>
        </w:rPr>
        <w:t>bond and re-investing the procee</w:t>
      </w:r>
      <w:r w:rsidR="00E70753" w:rsidRPr="00A249E4">
        <w:rPr>
          <w:rFonts w:ascii="Times New Roman" w:hAnsi="Times New Roman"/>
          <w:spacing w:val="-3"/>
          <w:sz w:val="22"/>
          <w:szCs w:val="22"/>
        </w:rPr>
        <w:t>ds</w:t>
      </w:r>
      <w:r w:rsidR="005D439E" w:rsidRPr="00A249E4">
        <w:rPr>
          <w:rFonts w:ascii="Times New Roman" w:hAnsi="Times New Roman"/>
          <w:spacing w:val="-3"/>
          <w:sz w:val="22"/>
          <w:szCs w:val="22"/>
        </w:rPr>
        <w:t>,</w:t>
      </w:r>
      <w:r w:rsidR="007E1A70" w:rsidRPr="00A249E4">
        <w:rPr>
          <w:rFonts w:ascii="Times New Roman" w:hAnsi="Times New Roman"/>
          <w:spacing w:val="-3"/>
          <w:sz w:val="22"/>
          <w:szCs w:val="22"/>
        </w:rPr>
        <w:t xml:space="preserve"> </w:t>
      </w:r>
      <w:r w:rsidR="00FE6659" w:rsidRPr="00A249E4">
        <w:rPr>
          <w:rFonts w:ascii="Times New Roman" w:hAnsi="Times New Roman"/>
          <w:spacing w:val="-3"/>
          <w:sz w:val="22"/>
          <w:szCs w:val="22"/>
        </w:rPr>
        <w:t xml:space="preserve">the bond on </w:t>
      </w:r>
      <w:r w:rsidR="007E1A70" w:rsidRPr="00A249E4">
        <w:rPr>
          <w:rFonts w:ascii="Times New Roman" w:hAnsi="Times New Roman"/>
          <w:spacing w:val="-3"/>
          <w:sz w:val="22"/>
          <w:szCs w:val="22"/>
        </w:rPr>
        <w:t>Company XYZ</w:t>
      </w:r>
      <w:r w:rsidR="00356610" w:rsidRPr="00A249E4">
        <w:rPr>
          <w:rFonts w:ascii="Times New Roman" w:hAnsi="Times New Roman"/>
          <w:spacing w:val="-3"/>
          <w:sz w:val="22"/>
          <w:szCs w:val="22"/>
        </w:rPr>
        <w:t>’s</w:t>
      </w:r>
      <w:r w:rsidR="007E1A70" w:rsidRPr="00A249E4">
        <w:rPr>
          <w:rFonts w:ascii="Times New Roman" w:hAnsi="Times New Roman"/>
          <w:spacing w:val="-3"/>
          <w:sz w:val="22"/>
          <w:szCs w:val="22"/>
        </w:rPr>
        <w:t xml:space="preserve"> </w:t>
      </w:r>
      <w:r w:rsidR="00FE6659" w:rsidRPr="00A249E4">
        <w:rPr>
          <w:rFonts w:ascii="Times New Roman" w:hAnsi="Times New Roman"/>
          <w:spacing w:val="-3"/>
          <w:sz w:val="22"/>
          <w:szCs w:val="22"/>
        </w:rPr>
        <w:t>balance sheet was</w:t>
      </w:r>
      <w:r w:rsidR="007E1A70" w:rsidRPr="00A249E4">
        <w:rPr>
          <w:rFonts w:ascii="Times New Roman" w:hAnsi="Times New Roman"/>
          <w:spacing w:val="-3"/>
          <w:sz w:val="22"/>
          <w:szCs w:val="22"/>
        </w:rPr>
        <w:t xml:space="preserve"> in an unrealized loss position</w:t>
      </w:r>
      <w:r w:rsidR="00F77025" w:rsidRPr="00A249E4">
        <w:rPr>
          <w:rFonts w:ascii="Times New Roman" w:hAnsi="Times New Roman"/>
          <w:spacing w:val="-3"/>
          <w:sz w:val="22"/>
          <w:szCs w:val="22"/>
        </w:rPr>
        <w:t>. H</w:t>
      </w:r>
      <w:r w:rsidR="0016554F" w:rsidRPr="00A249E4">
        <w:rPr>
          <w:rFonts w:ascii="Times New Roman" w:hAnsi="Times New Roman"/>
          <w:spacing w:val="-3"/>
          <w:sz w:val="22"/>
          <w:szCs w:val="22"/>
        </w:rPr>
        <w:t xml:space="preserve">ypothetically, </w:t>
      </w:r>
      <w:r w:rsidR="00F77025" w:rsidRPr="00A249E4">
        <w:rPr>
          <w:rFonts w:ascii="Times New Roman" w:hAnsi="Times New Roman"/>
          <w:spacing w:val="-3"/>
          <w:sz w:val="22"/>
          <w:szCs w:val="22"/>
        </w:rPr>
        <w:t xml:space="preserve">it </w:t>
      </w:r>
      <w:r w:rsidR="0016554F" w:rsidRPr="00A249E4">
        <w:rPr>
          <w:rFonts w:ascii="Times New Roman" w:hAnsi="Times New Roman"/>
          <w:spacing w:val="-3"/>
          <w:sz w:val="22"/>
          <w:szCs w:val="22"/>
        </w:rPr>
        <w:t>could</w:t>
      </w:r>
      <w:r w:rsidR="00220281" w:rsidRPr="00A249E4">
        <w:rPr>
          <w:rFonts w:ascii="Times New Roman" w:hAnsi="Times New Roman"/>
          <w:spacing w:val="-3"/>
          <w:sz w:val="22"/>
          <w:szCs w:val="22"/>
        </w:rPr>
        <w:t xml:space="preserve"> have been</w:t>
      </w:r>
      <w:r w:rsidR="005D439E" w:rsidRPr="00A249E4">
        <w:rPr>
          <w:rFonts w:ascii="Times New Roman" w:hAnsi="Times New Roman"/>
          <w:spacing w:val="-3"/>
          <w:sz w:val="22"/>
          <w:szCs w:val="22"/>
        </w:rPr>
        <w:t xml:space="preserve"> shown in </w:t>
      </w:r>
      <w:r w:rsidR="00F77025" w:rsidRPr="00A249E4">
        <w:rPr>
          <w:rFonts w:ascii="Times New Roman" w:hAnsi="Times New Roman"/>
          <w:spacing w:val="-3"/>
          <w:sz w:val="22"/>
          <w:szCs w:val="22"/>
        </w:rPr>
        <w:t>the</w:t>
      </w:r>
      <w:r w:rsidR="005D439E" w:rsidRPr="00A249E4">
        <w:rPr>
          <w:rFonts w:ascii="Times New Roman" w:hAnsi="Times New Roman"/>
          <w:spacing w:val="-3"/>
          <w:sz w:val="22"/>
          <w:szCs w:val="22"/>
        </w:rPr>
        <w:t xml:space="preserve"> financial statements</w:t>
      </w:r>
      <w:r w:rsidR="00AA51D3" w:rsidRPr="00A249E4">
        <w:rPr>
          <w:rFonts w:ascii="Times New Roman" w:hAnsi="Times New Roman"/>
          <w:spacing w:val="-3"/>
          <w:sz w:val="22"/>
          <w:szCs w:val="22"/>
        </w:rPr>
        <w:t xml:space="preserve"> as in Figure G</w:t>
      </w:r>
      <w:r w:rsidR="00220281" w:rsidRPr="00A249E4">
        <w:rPr>
          <w:rFonts w:ascii="Times New Roman" w:hAnsi="Times New Roman"/>
          <w:spacing w:val="-3"/>
          <w:sz w:val="22"/>
          <w:szCs w:val="22"/>
        </w:rPr>
        <w:t xml:space="preserve">. </w:t>
      </w:r>
    </w:p>
    <w:p w14:paraId="7F1F4F62" w14:textId="558623A8" w:rsidR="005D439E" w:rsidRPr="00A249E4" w:rsidRDefault="005D439E"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bl>
      <w:tblPr>
        <w:tblStyle w:val="TableGrid"/>
        <w:tblW w:w="0" w:type="auto"/>
        <w:tblLook w:val="04A0" w:firstRow="1" w:lastRow="0" w:firstColumn="1" w:lastColumn="0" w:noHBand="0" w:noVBand="1"/>
      </w:tblPr>
      <w:tblGrid>
        <w:gridCol w:w="4675"/>
        <w:gridCol w:w="4675"/>
      </w:tblGrid>
      <w:tr w:rsidR="005D439E" w:rsidRPr="00A249E4" w14:paraId="2CE370BF" w14:textId="77777777" w:rsidTr="00F16A2B">
        <w:tc>
          <w:tcPr>
            <w:tcW w:w="9350" w:type="dxa"/>
            <w:gridSpan w:val="2"/>
          </w:tcPr>
          <w:p w14:paraId="2B77C593" w14:textId="1E1F34C8"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Figure G</w:t>
            </w:r>
          </w:p>
        </w:tc>
      </w:tr>
      <w:tr w:rsidR="005D439E" w:rsidRPr="00A249E4" w14:paraId="3702A2C2" w14:textId="77777777" w:rsidTr="00F16A2B">
        <w:tc>
          <w:tcPr>
            <w:tcW w:w="4675" w:type="dxa"/>
          </w:tcPr>
          <w:p w14:paraId="2C6908C9" w14:textId="77777777"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Assets</w:t>
            </w:r>
          </w:p>
        </w:tc>
        <w:tc>
          <w:tcPr>
            <w:tcW w:w="4675" w:type="dxa"/>
          </w:tcPr>
          <w:p w14:paraId="5482BFBD" w14:textId="77777777"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Liabilities and Surplus</w:t>
            </w:r>
          </w:p>
        </w:tc>
      </w:tr>
      <w:tr w:rsidR="005D439E" w:rsidRPr="00A249E4" w14:paraId="29BAFC8F" w14:textId="77777777" w:rsidTr="00F16A2B">
        <w:tc>
          <w:tcPr>
            <w:tcW w:w="4675" w:type="dxa"/>
          </w:tcPr>
          <w:p w14:paraId="2FF90647" w14:textId="77777777"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Bonds at Market          85</w:t>
            </w:r>
          </w:p>
          <w:p w14:paraId="7F728D5B" w14:textId="77777777"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Unrealized Loss          15             </w:t>
            </w:r>
          </w:p>
          <w:p w14:paraId="68A5EBC5" w14:textId="77777777"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Equities                    </w:t>
            </w:r>
            <w:r w:rsidRPr="00A249E4">
              <w:rPr>
                <w:rFonts w:ascii="Times New Roman" w:hAnsi="Times New Roman"/>
                <w:spacing w:val="-3"/>
                <w:sz w:val="22"/>
                <w:szCs w:val="22"/>
                <w:u w:val="single"/>
              </w:rPr>
              <w:t xml:space="preserve">   10</w:t>
            </w:r>
          </w:p>
          <w:p w14:paraId="4052CD64" w14:textId="77777777"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   Total Assets          </w:t>
            </w:r>
            <w:r w:rsidRPr="00A249E4">
              <w:rPr>
                <w:rFonts w:ascii="Times New Roman" w:hAnsi="Times New Roman"/>
                <w:spacing w:val="-3"/>
                <w:sz w:val="22"/>
                <w:szCs w:val="22"/>
                <w:u w:val="double"/>
              </w:rPr>
              <w:t xml:space="preserve"> 110</w:t>
            </w:r>
            <w:r w:rsidRPr="00A249E4">
              <w:rPr>
                <w:rFonts w:ascii="Times New Roman" w:hAnsi="Times New Roman"/>
                <w:spacing w:val="-3"/>
                <w:sz w:val="22"/>
                <w:szCs w:val="22"/>
              </w:rPr>
              <w:t xml:space="preserve"> </w:t>
            </w:r>
          </w:p>
          <w:p w14:paraId="439E5397" w14:textId="77777777"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c>
        <w:tc>
          <w:tcPr>
            <w:tcW w:w="4675" w:type="dxa"/>
          </w:tcPr>
          <w:p w14:paraId="1FE2DC30" w14:textId="77777777"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Insurance liability                   100</w:t>
            </w:r>
          </w:p>
          <w:p w14:paraId="5D25DB67" w14:textId="77777777"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single"/>
              </w:rPr>
            </w:pPr>
            <w:r w:rsidRPr="00A249E4">
              <w:rPr>
                <w:rFonts w:ascii="Times New Roman" w:hAnsi="Times New Roman"/>
                <w:spacing w:val="-3"/>
                <w:sz w:val="22"/>
                <w:szCs w:val="22"/>
              </w:rPr>
              <w:t xml:space="preserve">Surplus                                    </w:t>
            </w:r>
            <w:r w:rsidRPr="00A249E4">
              <w:rPr>
                <w:rFonts w:ascii="Times New Roman" w:hAnsi="Times New Roman"/>
                <w:spacing w:val="-3"/>
                <w:sz w:val="22"/>
                <w:szCs w:val="22"/>
                <w:u w:val="single"/>
              </w:rPr>
              <w:t xml:space="preserve">  10</w:t>
            </w:r>
          </w:p>
          <w:p w14:paraId="105EE094" w14:textId="77777777"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u w:val="double"/>
              </w:rPr>
            </w:pPr>
            <w:r w:rsidRPr="00A249E4">
              <w:rPr>
                <w:rFonts w:ascii="Times New Roman" w:hAnsi="Times New Roman"/>
                <w:spacing w:val="-3"/>
                <w:sz w:val="22"/>
                <w:szCs w:val="22"/>
              </w:rPr>
              <w:t xml:space="preserve">   Liabilities &amp; Surplus           </w:t>
            </w:r>
            <w:r w:rsidRPr="00A249E4">
              <w:rPr>
                <w:rFonts w:ascii="Times New Roman" w:hAnsi="Times New Roman"/>
                <w:spacing w:val="-3"/>
                <w:sz w:val="22"/>
                <w:szCs w:val="22"/>
                <w:u w:val="double"/>
              </w:rPr>
              <w:t>110</w:t>
            </w:r>
          </w:p>
          <w:p w14:paraId="22DA3F4C" w14:textId="77777777" w:rsidR="005D439E" w:rsidRPr="00A249E4" w:rsidRDefault="005D439E" w:rsidP="00F16A2B">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c>
      </w:tr>
    </w:tbl>
    <w:p w14:paraId="0577CB66" w14:textId="77777777" w:rsidR="005D439E" w:rsidRPr="00A249E4" w:rsidRDefault="005D439E" w:rsidP="005D439E">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00C7D032" w14:textId="70BE8819" w:rsidR="001A2B36" w:rsidRDefault="00A960E9"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 xml:space="preserve">As the original bond and the new bond are </w:t>
      </w:r>
      <w:r w:rsidR="00E371AD" w:rsidRPr="00A249E4">
        <w:rPr>
          <w:rFonts w:ascii="Times New Roman" w:hAnsi="Times New Roman"/>
          <w:spacing w:val="-3"/>
          <w:sz w:val="22"/>
          <w:szCs w:val="22"/>
        </w:rPr>
        <w:t>transacted</w:t>
      </w:r>
      <w:r w:rsidRPr="00A249E4">
        <w:rPr>
          <w:rFonts w:ascii="Times New Roman" w:hAnsi="Times New Roman"/>
          <w:spacing w:val="-3"/>
          <w:sz w:val="22"/>
          <w:szCs w:val="22"/>
        </w:rPr>
        <w:t xml:space="preserve"> at market value, there would be no difference in solvency position pre</w:t>
      </w:r>
      <w:r w:rsidR="001D6728">
        <w:rPr>
          <w:rFonts w:ascii="Times New Roman" w:hAnsi="Times New Roman"/>
          <w:spacing w:val="-3"/>
          <w:sz w:val="22"/>
          <w:szCs w:val="22"/>
        </w:rPr>
        <w:t>-</w:t>
      </w:r>
      <w:r w:rsidRPr="00A249E4">
        <w:rPr>
          <w:rFonts w:ascii="Times New Roman" w:hAnsi="Times New Roman"/>
          <w:spacing w:val="-3"/>
          <w:sz w:val="22"/>
          <w:szCs w:val="22"/>
        </w:rPr>
        <w:t xml:space="preserve"> and post</w:t>
      </w:r>
      <w:r w:rsidR="001D6728">
        <w:rPr>
          <w:rFonts w:ascii="Times New Roman" w:hAnsi="Times New Roman"/>
          <w:spacing w:val="-3"/>
          <w:sz w:val="22"/>
          <w:szCs w:val="22"/>
        </w:rPr>
        <w:t>-</w:t>
      </w:r>
      <w:r w:rsidRPr="00A249E4">
        <w:rPr>
          <w:rFonts w:ascii="Times New Roman" w:hAnsi="Times New Roman"/>
          <w:spacing w:val="-3"/>
          <w:sz w:val="22"/>
          <w:szCs w:val="22"/>
        </w:rPr>
        <w:t xml:space="preserve">trade for Company XYZ. </w:t>
      </w:r>
      <w:r w:rsidR="001A2B36" w:rsidRPr="00A249E4">
        <w:rPr>
          <w:rFonts w:ascii="Times New Roman" w:hAnsi="Times New Roman"/>
          <w:spacing w:val="-3"/>
          <w:sz w:val="22"/>
          <w:szCs w:val="22"/>
        </w:rPr>
        <w:t>Disallowing negative IMR</w:t>
      </w:r>
      <w:r w:rsidR="000E299B" w:rsidRPr="00A249E4">
        <w:rPr>
          <w:rFonts w:ascii="Times New Roman" w:hAnsi="Times New Roman"/>
          <w:spacing w:val="-3"/>
          <w:sz w:val="22"/>
          <w:szCs w:val="22"/>
        </w:rPr>
        <w:t xml:space="preserve"> </w:t>
      </w:r>
      <w:r w:rsidR="000652B3" w:rsidRPr="00A249E4">
        <w:rPr>
          <w:rFonts w:ascii="Times New Roman" w:hAnsi="Times New Roman"/>
          <w:spacing w:val="-3"/>
          <w:sz w:val="22"/>
          <w:szCs w:val="22"/>
        </w:rPr>
        <w:t xml:space="preserve">in </w:t>
      </w:r>
      <w:r w:rsidR="005D439E" w:rsidRPr="00A249E4">
        <w:rPr>
          <w:rFonts w:ascii="Times New Roman" w:hAnsi="Times New Roman"/>
          <w:spacing w:val="-3"/>
          <w:sz w:val="22"/>
          <w:szCs w:val="22"/>
        </w:rPr>
        <w:t>Figure F</w:t>
      </w:r>
      <w:r w:rsidR="00DA0649">
        <w:rPr>
          <w:rFonts w:ascii="Times New Roman" w:hAnsi="Times New Roman"/>
          <w:spacing w:val="-3"/>
          <w:sz w:val="22"/>
          <w:szCs w:val="22"/>
        </w:rPr>
        <w:t xml:space="preserve"> </w:t>
      </w:r>
      <w:r w:rsidR="00DA0649" w:rsidRPr="00A249E4">
        <w:rPr>
          <w:rFonts w:ascii="Times New Roman" w:hAnsi="Times New Roman"/>
          <w:spacing w:val="-3"/>
          <w:sz w:val="22"/>
          <w:szCs w:val="22"/>
        </w:rPr>
        <w:t xml:space="preserve">(the IMR value under “Assets”) </w:t>
      </w:r>
      <w:r w:rsidR="001A2B36" w:rsidRPr="00A249E4">
        <w:rPr>
          <w:rFonts w:ascii="Times New Roman" w:hAnsi="Times New Roman"/>
          <w:spacing w:val="-3"/>
          <w:sz w:val="22"/>
          <w:szCs w:val="22"/>
        </w:rPr>
        <w:t xml:space="preserve">is no more appropriate than </w:t>
      </w:r>
      <w:r w:rsidR="00CE0B3C" w:rsidRPr="00A249E4">
        <w:rPr>
          <w:rFonts w:ascii="Times New Roman" w:hAnsi="Times New Roman"/>
          <w:spacing w:val="-3"/>
          <w:sz w:val="22"/>
          <w:szCs w:val="22"/>
        </w:rPr>
        <w:t xml:space="preserve">disallowing the unrealized loss </w:t>
      </w:r>
      <w:r w:rsidR="005F5976">
        <w:rPr>
          <w:rFonts w:ascii="Times New Roman" w:hAnsi="Times New Roman"/>
          <w:spacing w:val="-3"/>
          <w:sz w:val="22"/>
          <w:szCs w:val="22"/>
        </w:rPr>
        <w:t xml:space="preserve">embedded within the </w:t>
      </w:r>
      <w:r w:rsidR="00980E46" w:rsidRPr="00A249E4">
        <w:rPr>
          <w:rFonts w:ascii="Times New Roman" w:hAnsi="Times New Roman"/>
          <w:spacing w:val="-3"/>
          <w:sz w:val="22"/>
          <w:szCs w:val="22"/>
        </w:rPr>
        <w:t>balance sheet</w:t>
      </w:r>
      <w:r w:rsidR="005D439E" w:rsidRPr="00A249E4">
        <w:rPr>
          <w:rFonts w:ascii="Times New Roman" w:hAnsi="Times New Roman"/>
          <w:spacing w:val="-3"/>
          <w:sz w:val="22"/>
          <w:szCs w:val="22"/>
        </w:rPr>
        <w:t xml:space="preserve"> </w:t>
      </w:r>
      <w:r w:rsidR="008B2C1E" w:rsidRPr="00A249E4">
        <w:rPr>
          <w:rFonts w:ascii="Times New Roman" w:hAnsi="Times New Roman"/>
          <w:spacing w:val="-3"/>
          <w:sz w:val="22"/>
          <w:szCs w:val="22"/>
        </w:rPr>
        <w:t xml:space="preserve">in </w:t>
      </w:r>
      <w:r w:rsidR="005D439E" w:rsidRPr="00A249E4">
        <w:rPr>
          <w:rFonts w:ascii="Times New Roman" w:hAnsi="Times New Roman"/>
          <w:spacing w:val="-3"/>
          <w:sz w:val="22"/>
          <w:szCs w:val="22"/>
        </w:rPr>
        <w:t>Figure G</w:t>
      </w:r>
      <w:r w:rsidR="00933360" w:rsidRPr="00A249E4">
        <w:rPr>
          <w:rFonts w:ascii="Times New Roman" w:hAnsi="Times New Roman"/>
          <w:spacing w:val="-3"/>
          <w:sz w:val="22"/>
          <w:szCs w:val="22"/>
        </w:rPr>
        <w:t>.</w:t>
      </w:r>
      <w:r w:rsidR="00740E75">
        <w:rPr>
          <w:rFonts w:ascii="Times New Roman" w:hAnsi="Times New Roman"/>
          <w:spacing w:val="-3"/>
          <w:sz w:val="22"/>
          <w:szCs w:val="22"/>
        </w:rPr>
        <w:t xml:space="preserve">  </w:t>
      </w:r>
    </w:p>
    <w:p w14:paraId="1DDC9E24" w14:textId="77777777" w:rsidR="00153D22" w:rsidRDefault="00153D22"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15DE3E59" w14:textId="7AEED88E" w:rsidR="00153D22" w:rsidRPr="00A249E4" w:rsidRDefault="00153D22" w:rsidP="00993485">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Pr>
          <w:rFonts w:ascii="Times New Roman" w:hAnsi="Times New Roman"/>
          <w:spacing w:val="-3"/>
          <w:sz w:val="22"/>
          <w:szCs w:val="22"/>
        </w:rPr>
        <w:t xml:space="preserve">An </w:t>
      </w:r>
      <w:r w:rsidR="00D36B40">
        <w:rPr>
          <w:rFonts w:ascii="Times New Roman" w:hAnsi="Times New Roman"/>
          <w:spacing w:val="-3"/>
          <w:sz w:val="22"/>
          <w:szCs w:val="22"/>
        </w:rPr>
        <w:t>illustrative</w:t>
      </w:r>
      <w:r>
        <w:rPr>
          <w:rFonts w:ascii="Times New Roman" w:hAnsi="Times New Roman"/>
          <w:spacing w:val="-3"/>
          <w:sz w:val="22"/>
          <w:szCs w:val="22"/>
        </w:rPr>
        <w:t xml:space="preserve"> example </w:t>
      </w:r>
      <w:r w:rsidR="00D36B40">
        <w:rPr>
          <w:rFonts w:ascii="Times New Roman" w:hAnsi="Times New Roman"/>
          <w:spacing w:val="-3"/>
          <w:sz w:val="22"/>
          <w:szCs w:val="22"/>
        </w:rPr>
        <w:t>regarding</w:t>
      </w:r>
      <w:r>
        <w:rPr>
          <w:rFonts w:ascii="Times New Roman" w:hAnsi="Times New Roman"/>
          <w:spacing w:val="-3"/>
          <w:sz w:val="22"/>
          <w:szCs w:val="22"/>
        </w:rPr>
        <w:t xml:space="preserve"> </w:t>
      </w:r>
      <w:r w:rsidRPr="00153D22">
        <w:rPr>
          <w:rFonts w:ascii="Times New Roman" w:hAnsi="Times New Roman"/>
          <w:spacing w:val="-3"/>
          <w:sz w:val="22"/>
          <w:szCs w:val="22"/>
        </w:rPr>
        <w:t xml:space="preserve">IMR in the context of </w:t>
      </w:r>
      <w:r w:rsidR="00D36B40">
        <w:rPr>
          <w:rFonts w:ascii="Times New Roman" w:hAnsi="Times New Roman"/>
          <w:spacing w:val="-3"/>
          <w:sz w:val="22"/>
          <w:szCs w:val="22"/>
        </w:rPr>
        <w:t>d</w:t>
      </w:r>
      <w:r w:rsidRPr="00153D22">
        <w:rPr>
          <w:rFonts w:ascii="Times New Roman" w:hAnsi="Times New Roman"/>
          <w:spacing w:val="-3"/>
          <w:sz w:val="22"/>
          <w:szCs w:val="22"/>
        </w:rPr>
        <w:t xml:space="preserve">erivative </w:t>
      </w:r>
      <w:r w:rsidR="00D36B40">
        <w:rPr>
          <w:rFonts w:ascii="Times New Roman" w:hAnsi="Times New Roman"/>
          <w:spacing w:val="-3"/>
          <w:sz w:val="22"/>
          <w:szCs w:val="22"/>
        </w:rPr>
        <w:t>h</w:t>
      </w:r>
      <w:r w:rsidRPr="00153D22">
        <w:rPr>
          <w:rFonts w:ascii="Times New Roman" w:hAnsi="Times New Roman"/>
          <w:spacing w:val="-3"/>
          <w:sz w:val="22"/>
          <w:szCs w:val="22"/>
        </w:rPr>
        <w:t xml:space="preserve">edging </w:t>
      </w:r>
      <w:r w:rsidR="00D36B40">
        <w:rPr>
          <w:rFonts w:ascii="Times New Roman" w:hAnsi="Times New Roman"/>
          <w:spacing w:val="-3"/>
          <w:sz w:val="22"/>
          <w:szCs w:val="22"/>
        </w:rPr>
        <w:t>t</w:t>
      </w:r>
      <w:r w:rsidRPr="00153D22">
        <w:rPr>
          <w:rFonts w:ascii="Times New Roman" w:hAnsi="Times New Roman"/>
          <w:spacing w:val="-3"/>
          <w:sz w:val="22"/>
          <w:szCs w:val="22"/>
        </w:rPr>
        <w:t>ransactions</w:t>
      </w:r>
      <w:r w:rsidR="00D36B40">
        <w:rPr>
          <w:rFonts w:ascii="Times New Roman" w:hAnsi="Times New Roman"/>
          <w:spacing w:val="-3"/>
          <w:sz w:val="22"/>
          <w:szCs w:val="22"/>
        </w:rPr>
        <w:t xml:space="preserve"> is provided in Appendix 3.</w:t>
      </w:r>
    </w:p>
    <w:p w14:paraId="380455F4" w14:textId="77777777" w:rsidR="00161988" w:rsidRPr="00A249E4" w:rsidRDefault="00161988" w:rsidP="00271FB3">
      <w:pPr>
        <w:rPr>
          <w:rFonts w:ascii="Times New Roman" w:hAnsi="Times New Roman"/>
          <w:sz w:val="22"/>
          <w:szCs w:val="22"/>
        </w:rPr>
      </w:pPr>
    </w:p>
    <w:p w14:paraId="2AE4E75B" w14:textId="1054C0B6" w:rsidR="00271FB3" w:rsidRPr="00A249E4" w:rsidRDefault="005C4319" w:rsidP="00271FB3">
      <w:pPr>
        <w:rPr>
          <w:rFonts w:ascii="Times New Roman" w:hAnsi="Times New Roman"/>
          <w:b/>
          <w:bCs/>
          <w:sz w:val="22"/>
          <w:szCs w:val="22"/>
        </w:rPr>
      </w:pPr>
      <w:r w:rsidRPr="00A249E4">
        <w:rPr>
          <w:rFonts w:ascii="Times New Roman" w:hAnsi="Times New Roman"/>
          <w:b/>
          <w:bCs/>
          <w:sz w:val="22"/>
          <w:szCs w:val="22"/>
        </w:rPr>
        <w:t>Definition of IMR</w:t>
      </w:r>
    </w:p>
    <w:p w14:paraId="1E71BF84" w14:textId="0CCCE3AD" w:rsidR="005C4319" w:rsidRPr="00A249E4" w:rsidRDefault="005C4319" w:rsidP="00271FB3">
      <w:pPr>
        <w:rPr>
          <w:rFonts w:ascii="Times New Roman" w:hAnsi="Times New Roman"/>
          <w:b/>
          <w:bCs/>
          <w:sz w:val="22"/>
          <w:szCs w:val="22"/>
        </w:rPr>
      </w:pPr>
    </w:p>
    <w:p w14:paraId="2B472A95" w14:textId="25708A4C" w:rsidR="005C4319" w:rsidRPr="00A249E4" w:rsidRDefault="005C4319" w:rsidP="00271FB3">
      <w:pPr>
        <w:rPr>
          <w:rFonts w:ascii="Times New Roman" w:hAnsi="Times New Roman"/>
          <w:sz w:val="22"/>
          <w:szCs w:val="22"/>
        </w:rPr>
      </w:pPr>
      <w:r w:rsidRPr="00A249E4">
        <w:rPr>
          <w:rFonts w:ascii="Times New Roman" w:hAnsi="Times New Roman"/>
          <w:sz w:val="22"/>
          <w:szCs w:val="22"/>
        </w:rPr>
        <w:t xml:space="preserve">With this background, </w:t>
      </w:r>
      <w:r w:rsidR="00245BD1" w:rsidRPr="00A249E4">
        <w:rPr>
          <w:rFonts w:ascii="Times New Roman" w:hAnsi="Times New Roman"/>
          <w:sz w:val="22"/>
          <w:szCs w:val="22"/>
        </w:rPr>
        <w:t>we now have the proper context to</w:t>
      </w:r>
      <w:r w:rsidRPr="00A249E4">
        <w:rPr>
          <w:rFonts w:ascii="Times New Roman" w:hAnsi="Times New Roman"/>
          <w:sz w:val="22"/>
          <w:szCs w:val="22"/>
        </w:rPr>
        <w:t xml:space="preserve"> define </w:t>
      </w:r>
      <w:r w:rsidR="00EC5F11">
        <w:rPr>
          <w:rFonts w:ascii="Times New Roman" w:hAnsi="Times New Roman"/>
          <w:sz w:val="22"/>
          <w:szCs w:val="22"/>
        </w:rPr>
        <w:t xml:space="preserve">and </w:t>
      </w:r>
      <w:r w:rsidR="006E3F5E">
        <w:rPr>
          <w:rFonts w:ascii="Times New Roman" w:hAnsi="Times New Roman"/>
          <w:sz w:val="22"/>
          <w:szCs w:val="22"/>
        </w:rPr>
        <w:t xml:space="preserve">state the purpose of </w:t>
      </w:r>
      <w:r w:rsidRPr="00A249E4">
        <w:rPr>
          <w:rFonts w:ascii="Times New Roman" w:hAnsi="Times New Roman"/>
          <w:sz w:val="22"/>
          <w:szCs w:val="22"/>
        </w:rPr>
        <w:t>IMR:</w:t>
      </w:r>
    </w:p>
    <w:p w14:paraId="072325DE" w14:textId="6A70758F" w:rsidR="005C4319" w:rsidRPr="00A249E4" w:rsidRDefault="005C4319" w:rsidP="00271FB3">
      <w:pPr>
        <w:rPr>
          <w:rFonts w:ascii="Times New Roman" w:hAnsi="Times New Roman"/>
          <w:sz w:val="22"/>
          <w:szCs w:val="22"/>
        </w:rPr>
      </w:pPr>
    </w:p>
    <w:p w14:paraId="2028E023" w14:textId="7A69EF28" w:rsidR="006E3F5E" w:rsidRDefault="00183960" w:rsidP="00A249E4">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720"/>
        <w:jc w:val="both"/>
        <w:rPr>
          <w:rFonts w:ascii="Times New Roman" w:hAnsi="Times New Roman"/>
          <w:sz w:val="22"/>
          <w:szCs w:val="22"/>
        </w:rPr>
      </w:pPr>
      <w:r w:rsidRPr="00A249E4">
        <w:rPr>
          <w:rFonts w:ascii="Times New Roman" w:hAnsi="Times New Roman"/>
          <w:sz w:val="22"/>
          <w:szCs w:val="22"/>
        </w:rPr>
        <w:t xml:space="preserve">IMR is a </w:t>
      </w:r>
      <w:r w:rsidR="006E3F5E">
        <w:rPr>
          <w:rFonts w:ascii="Times New Roman" w:hAnsi="Times New Roman"/>
          <w:sz w:val="22"/>
          <w:szCs w:val="22"/>
        </w:rPr>
        <w:t>valuation</w:t>
      </w:r>
      <w:r w:rsidRPr="00A249E4">
        <w:rPr>
          <w:rFonts w:ascii="Times New Roman" w:hAnsi="Times New Roman"/>
          <w:sz w:val="22"/>
          <w:szCs w:val="22"/>
        </w:rPr>
        <w:t xml:space="preserve"> adjustment to maintain consistency between </w:t>
      </w:r>
      <w:r w:rsidR="00F37D5D" w:rsidRPr="00A249E4">
        <w:rPr>
          <w:rFonts w:ascii="Times New Roman" w:hAnsi="Times New Roman"/>
          <w:sz w:val="22"/>
          <w:szCs w:val="22"/>
        </w:rPr>
        <w:t xml:space="preserve">insurance </w:t>
      </w:r>
      <w:r w:rsidRPr="00A249E4">
        <w:rPr>
          <w:rFonts w:ascii="Times New Roman" w:hAnsi="Times New Roman"/>
          <w:sz w:val="22"/>
          <w:szCs w:val="22"/>
        </w:rPr>
        <w:t xml:space="preserve">liabilities </w:t>
      </w:r>
      <w:r w:rsidR="007F0CF4" w:rsidRPr="00A249E4">
        <w:rPr>
          <w:rFonts w:ascii="Times New Roman" w:hAnsi="Times New Roman"/>
          <w:sz w:val="22"/>
          <w:szCs w:val="22"/>
        </w:rPr>
        <w:t xml:space="preserve">(the assumptions for which are </w:t>
      </w:r>
      <w:r w:rsidR="00286A26">
        <w:rPr>
          <w:rFonts w:ascii="Times New Roman" w:hAnsi="Times New Roman"/>
          <w:sz w:val="22"/>
          <w:szCs w:val="22"/>
        </w:rPr>
        <w:t>often</w:t>
      </w:r>
      <w:r w:rsidR="007F0CF4" w:rsidRPr="00A249E4">
        <w:rPr>
          <w:rFonts w:ascii="Times New Roman" w:hAnsi="Times New Roman"/>
          <w:sz w:val="22"/>
          <w:szCs w:val="22"/>
        </w:rPr>
        <w:t xml:space="preserve"> unchanged from origin</w:t>
      </w:r>
      <w:proofErr w:type="gramStart"/>
      <w:r w:rsidR="007F0CF4" w:rsidRPr="00A249E4">
        <w:rPr>
          <w:rFonts w:ascii="Times New Roman" w:hAnsi="Times New Roman"/>
          <w:sz w:val="22"/>
          <w:szCs w:val="22"/>
        </w:rPr>
        <w:t>)</w:t>
      </w:r>
      <w:proofErr w:type="gramEnd"/>
      <w:r w:rsidR="007F0CF4" w:rsidRPr="00A249E4">
        <w:rPr>
          <w:rFonts w:ascii="Times New Roman" w:hAnsi="Times New Roman"/>
          <w:sz w:val="22"/>
          <w:szCs w:val="22"/>
        </w:rPr>
        <w:t xml:space="preserve"> </w:t>
      </w:r>
      <w:r w:rsidRPr="00A249E4">
        <w:rPr>
          <w:rFonts w:ascii="Times New Roman" w:hAnsi="Times New Roman"/>
          <w:sz w:val="22"/>
          <w:szCs w:val="22"/>
        </w:rPr>
        <w:t xml:space="preserve">and the assets needed to </w:t>
      </w:r>
      <w:r w:rsidR="007F0CF4" w:rsidRPr="00A249E4">
        <w:rPr>
          <w:rFonts w:ascii="Times New Roman" w:hAnsi="Times New Roman"/>
          <w:sz w:val="22"/>
          <w:szCs w:val="22"/>
        </w:rPr>
        <w:t xml:space="preserve">support them (where the assumptions can essentially be revisited any time there </w:t>
      </w:r>
      <w:r w:rsidR="00A249E4" w:rsidRPr="00A249E4">
        <w:rPr>
          <w:rFonts w:ascii="Times New Roman" w:hAnsi="Times New Roman"/>
          <w:sz w:val="22"/>
          <w:szCs w:val="22"/>
        </w:rPr>
        <w:t>are</w:t>
      </w:r>
      <w:r w:rsidR="007F0CF4" w:rsidRPr="00A249E4">
        <w:rPr>
          <w:rFonts w:ascii="Times New Roman" w:hAnsi="Times New Roman"/>
          <w:sz w:val="22"/>
          <w:szCs w:val="22"/>
        </w:rPr>
        <w:t xml:space="preserve"> </w:t>
      </w:r>
      <w:r w:rsidR="00984692">
        <w:rPr>
          <w:rFonts w:ascii="Times New Roman" w:hAnsi="Times New Roman"/>
          <w:sz w:val="22"/>
          <w:szCs w:val="22"/>
        </w:rPr>
        <w:t>fixed income realizations</w:t>
      </w:r>
      <w:r w:rsidR="007F0CF4" w:rsidRPr="00A249E4">
        <w:rPr>
          <w:rFonts w:ascii="Times New Roman" w:hAnsi="Times New Roman"/>
          <w:sz w:val="22"/>
          <w:szCs w:val="22"/>
        </w:rPr>
        <w:t>)</w:t>
      </w:r>
      <w:r w:rsidR="00984692">
        <w:rPr>
          <w:rFonts w:ascii="Times New Roman" w:hAnsi="Times New Roman"/>
          <w:sz w:val="22"/>
          <w:szCs w:val="22"/>
        </w:rPr>
        <w:t>.</w:t>
      </w:r>
      <w:r w:rsidR="006E3F5E">
        <w:rPr>
          <w:rFonts w:ascii="Times New Roman" w:hAnsi="Times New Roman"/>
          <w:sz w:val="22"/>
          <w:szCs w:val="22"/>
        </w:rPr>
        <w:t xml:space="preserve">  </w:t>
      </w:r>
    </w:p>
    <w:p w14:paraId="4088E55C" w14:textId="77777777" w:rsidR="006E3F5E" w:rsidRDefault="006E3F5E" w:rsidP="00A249E4">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720"/>
        <w:jc w:val="both"/>
        <w:rPr>
          <w:rFonts w:ascii="Times New Roman" w:hAnsi="Times New Roman"/>
          <w:sz w:val="22"/>
          <w:szCs w:val="22"/>
        </w:rPr>
      </w:pPr>
    </w:p>
    <w:p w14:paraId="35451E32" w14:textId="687E31D6" w:rsidR="0078092A" w:rsidRDefault="007F0CF4" w:rsidP="00A249E4">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720"/>
        <w:jc w:val="both"/>
        <w:rPr>
          <w:rFonts w:ascii="Times New Roman" w:hAnsi="Times New Roman"/>
          <w:spacing w:val="-3"/>
          <w:sz w:val="22"/>
          <w:szCs w:val="22"/>
        </w:rPr>
      </w:pPr>
      <w:r w:rsidRPr="00A249E4">
        <w:rPr>
          <w:rFonts w:ascii="Times New Roman" w:hAnsi="Times New Roman"/>
          <w:spacing w:val="-3"/>
          <w:sz w:val="22"/>
          <w:szCs w:val="22"/>
        </w:rPr>
        <w:t xml:space="preserve">IMR </w:t>
      </w:r>
      <w:r w:rsidR="00286A26">
        <w:rPr>
          <w:rFonts w:ascii="Times New Roman" w:hAnsi="Times New Roman"/>
          <w:spacing w:val="-3"/>
          <w:sz w:val="22"/>
          <w:szCs w:val="22"/>
        </w:rPr>
        <w:t>defers and amortizes</w:t>
      </w:r>
      <w:r w:rsidRPr="00A249E4">
        <w:rPr>
          <w:rFonts w:ascii="Times New Roman" w:hAnsi="Times New Roman"/>
          <w:spacing w:val="-3"/>
          <w:sz w:val="22"/>
          <w:szCs w:val="22"/>
        </w:rPr>
        <w:t xml:space="preserve"> the recognition of </w:t>
      </w:r>
      <w:r w:rsidR="00286A26">
        <w:rPr>
          <w:rFonts w:ascii="Times New Roman" w:hAnsi="Times New Roman"/>
          <w:spacing w:val="-3"/>
          <w:sz w:val="22"/>
          <w:szCs w:val="22"/>
        </w:rPr>
        <w:t xml:space="preserve">non-economic </w:t>
      </w:r>
      <w:r w:rsidRPr="00A249E4">
        <w:rPr>
          <w:rFonts w:ascii="Times New Roman" w:hAnsi="Times New Roman"/>
          <w:spacing w:val="-3"/>
          <w:sz w:val="22"/>
          <w:szCs w:val="22"/>
        </w:rPr>
        <w:t>gains or losses where investment activity, whether through fixed income investment sales or fixed income derivative hedging transactions, essentially unlock unrealized gains/losses for either assets or liabilities.</w:t>
      </w:r>
      <w:r w:rsidR="00286A26">
        <w:rPr>
          <w:rFonts w:ascii="Times New Roman" w:hAnsi="Times New Roman"/>
          <w:spacing w:val="-3"/>
          <w:sz w:val="22"/>
          <w:szCs w:val="22"/>
        </w:rPr>
        <w:t xml:space="preserve">  IMR is not intended to defer economic gains and losses</w:t>
      </w:r>
      <w:r w:rsidR="003A5953">
        <w:rPr>
          <w:rFonts w:ascii="Times New Roman" w:hAnsi="Times New Roman"/>
          <w:spacing w:val="-3"/>
          <w:sz w:val="22"/>
          <w:szCs w:val="22"/>
        </w:rPr>
        <w:t xml:space="preserve"> </w:t>
      </w:r>
      <w:r w:rsidR="00FF255D">
        <w:rPr>
          <w:rFonts w:ascii="Times New Roman" w:hAnsi="Times New Roman"/>
          <w:spacing w:val="-3"/>
          <w:sz w:val="22"/>
          <w:szCs w:val="22"/>
        </w:rPr>
        <w:t>related to</w:t>
      </w:r>
      <w:r w:rsidR="003A5953">
        <w:rPr>
          <w:rFonts w:ascii="Times New Roman" w:hAnsi="Times New Roman"/>
          <w:spacing w:val="-3"/>
          <w:sz w:val="22"/>
          <w:szCs w:val="22"/>
        </w:rPr>
        <w:t xml:space="preserve"> asset sales compelled by liquidity pressures that fund significant cash outflows (e.g., such as excess withdrawals and collateral calls)</w:t>
      </w:r>
      <w:r w:rsidR="00406C04">
        <w:rPr>
          <w:rFonts w:ascii="Times New Roman" w:hAnsi="Times New Roman"/>
          <w:spacing w:val="-3"/>
          <w:sz w:val="22"/>
          <w:szCs w:val="22"/>
        </w:rPr>
        <w:t>.</w:t>
      </w:r>
      <w:r w:rsidR="003A5953">
        <w:rPr>
          <w:rFonts w:ascii="Times New Roman" w:hAnsi="Times New Roman"/>
          <w:spacing w:val="-3"/>
          <w:sz w:val="22"/>
          <w:szCs w:val="22"/>
        </w:rPr>
        <w:t xml:space="preserve"> </w:t>
      </w:r>
    </w:p>
    <w:p w14:paraId="24F18CD2" w14:textId="5CB95E0F" w:rsidR="006E3F5E" w:rsidRDefault="006E3F5E" w:rsidP="00A249E4">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720"/>
        <w:jc w:val="both"/>
        <w:rPr>
          <w:rFonts w:ascii="Times New Roman" w:hAnsi="Times New Roman"/>
          <w:spacing w:val="-3"/>
          <w:sz w:val="22"/>
          <w:szCs w:val="22"/>
        </w:rPr>
      </w:pPr>
    </w:p>
    <w:p w14:paraId="4E5A51A5" w14:textId="4AC57444" w:rsidR="006E3F5E" w:rsidRPr="00A249E4" w:rsidRDefault="006E3F5E" w:rsidP="00A249E4">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720"/>
        <w:jc w:val="both"/>
        <w:rPr>
          <w:rFonts w:ascii="Times New Roman" w:hAnsi="Times New Roman"/>
          <w:spacing w:val="-3"/>
          <w:sz w:val="22"/>
          <w:szCs w:val="22"/>
        </w:rPr>
      </w:pPr>
      <w:r>
        <w:rPr>
          <w:rFonts w:ascii="Times New Roman" w:hAnsi="Times New Roman"/>
          <w:spacing w:val="-3"/>
          <w:sz w:val="22"/>
          <w:szCs w:val="22"/>
        </w:rPr>
        <w:t xml:space="preserve">Specifically, the IMR valuation adjustment </w:t>
      </w:r>
      <w:r w:rsidR="00EC5F11">
        <w:rPr>
          <w:rFonts w:ascii="Times New Roman" w:hAnsi="Times New Roman"/>
          <w:spacing w:val="-3"/>
          <w:sz w:val="22"/>
          <w:szCs w:val="22"/>
        </w:rPr>
        <w:t>more</w:t>
      </w:r>
      <w:r w:rsidR="00E31566">
        <w:rPr>
          <w:rFonts w:ascii="Times New Roman" w:hAnsi="Times New Roman"/>
          <w:spacing w:val="-3"/>
          <w:sz w:val="22"/>
          <w:szCs w:val="22"/>
        </w:rPr>
        <w:t xml:space="preserve"> </w:t>
      </w:r>
      <w:r>
        <w:rPr>
          <w:rFonts w:ascii="Times New Roman" w:hAnsi="Times New Roman"/>
          <w:spacing w:val="-3"/>
          <w:sz w:val="22"/>
          <w:szCs w:val="22"/>
        </w:rPr>
        <w:t>appropriately reflect</w:t>
      </w:r>
      <w:r w:rsidR="00EC5F11">
        <w:rPr>
          <w:rFonts w:ascii="Times New Roman" w:hAnsi="Times New Roman"/>
          <w:spacing w:val="-3"/>
          <w:sz w:val="22"/>
          <w:szCs w:val="22"/>
        </w:rPr>
        <w:t>s</w:t>
      </w:r>
      <w:r>
        <w:rPr>
          <w:rFonts w:ascii="Times New Roman" w:hAnsi="Times New Roman"/>
          <w:spacing w:val="-3"/>
          <w:sz w:val="22"/>
          <w:szCs w:val="22"/>
        </w:rPr>
        <w:t xml:space="preserve"> the impact to statutory surplus from fluctuations in interest rates </w:t>
      </w:r>
      <w:r w:rsidR="00EC5F11">
        <w:rPr>
          <w:rFonts w:ascii="Times New Roman" w:hAnsi="Times New Roman"/>
          <w:spacing w:val="-3"/>
          <w:sz w:val="22"/>
          <w:szCs w:val="22"/>
        </w:rPr>
        <w:t xml:space="preserve">and therefore provides a </w:t>
      </w:r>
      <w:r w:rsidR="00E31566">
        <w:rPr>
          <w:rFonts w:ascii="Times New Roman" w:hAnsi="Times New Roman"/>
          <w:spacing w:val="-3"/>
          <w:sz w:val="22"/>
          <w:szCs w:val="22"/>
        </w:rPr>
        <w:t>more</w:t>
      </w:r>
      <w:r>
        <w:rPr>
          <w:rFonts w:ascii="Times New Roman" w:hAnsi="Times New Roman"/>
          <w:spacing w:val="-3"/>
          <w:sz w:val="22"/>
          <w:szCs w:val="22"/>
        </w:rPr>
        <w:t xml:space="preserve"> accurate</w:t>
      </w:r>
      <w:r w:rsidR="00E31566">
        <w:rPr>
          <w:rFonts w:ascii="Times New Roman" w:hAnsi="Times New Roman"/>
          <w:spacing w:val="-3"/>
          <w:sz w:val="22"/>
          <w:szCs w:val="22"/>
        </w:rPr>
        <w:t xml:space="preserve"> representation</w:t>
      </w:r>
      <w:r>
        <w:rPr>
          <w:rFonts w:ascii="Times New Roman" w:hAnsi="Times New Roman"/>
          <w:spacing w:val="-3"/>
          <w:sz w:val="22"/>
          <w:szCs w:val="22"/>
        </w:rPr>
        <w:t xml:space="preserve"> of solvency under the NAIC’s statutory framework</w:t>
      </w:r>
      <w:r w:rsidR="00286A26">
        <w:rPr>
          <w:rFonts w:ascii="Times New Roman" w:hAnsi="Times New Roman"/>
          <w:spacing w:val="-3"/>
          <w:sz w:val="22"/>
          <w:szCs w:val="22"/>
        </w:rPr>
        <w:t xml:space="preserve"> which </w:t>
      </w:r>
      <w:r w:rsidR="00FF255D">
        <w:rPr>
          <w:rFonts w:ascii="Times New Roman" w:hAnsi="Times New Roman"/>
          <w:spacing w:val="-3"/>
          <w:sz w:val="22"/>
          <w:szCs w:val="22"/>
        </w:rPr>
        <w:t xml:space="preserve">often </w:t>
      </w:r>
      <w:r w:rsidR="00286A26">
        <w:rPr>
          <w:rFonts w:ascii="Times New Roman" w:hAnsi="Times New Roman"/>
          <w:spacing w:val="-3"/>
          <w:sz w:val="22"/>
          <w:szCs w:val="22"/>
        </w:rPr>
        <w:t xml:space="preserve">includes </w:t>
      </w:r>
      <w:r w:rsidR="00FF255D">
        <w:rPr>
          <w:rFonts w:ascii="Times New Roman" w:hAnsi="Times New Roman"/>
          <w:spacing w:val="-3"/>
          <w:sz w:val="22"/>
          <w:szCs w:val="22"/>
        </w:rPr>
        <w:t xml:space="preserve">amortized cost valuation of fixed income </w:t>
      </w:r>
      <w:r w:rsidR="00FF255D">
        <w:rPr>
          <w:rFonts w:ascii="Times New Roman" w:hAnsi="Times New Roman"/>
          <w:spacing w:val="-3"/>
          <w:sz w:val="22"/>
          <w:szCs w:val="22"/>
        </w:rPr>
        <w:lastRenderedPageBreak/>
        <w:t xml:space="preserve">investments and liability valuations with fixed assumptions in accordance with the </w:t>
      </w:r>
      <w:r w:rsidR="002F04C0">
        <w:rPr>
          <w:rFonts w:ascii="Times New Roman" w:hAnsi="Times New Roman"/>
          <w:spacing w:val="-3"/>
          <w:sz w:val="22"/>
          <w:szCs w:val="22"/>
        </w:rPr>
        <w:t xml:space="preserve">Accounting Practices and Procedures and </w:t>
      </w:r>
      <w:r w:rsidR="00FF255D">
        <w:rPr>
          <w:rFonts w:ascii="Times New Roman" w:hAnsi="Times New Roman"/>
          <w:spacing w:val="-3"/>
          <w:sz w:val="22"/>
          <w:szCs w:val="22"/>
        </w:rPr>
        <w:t>Valuation Manual.</w:t>
      </w:r>
    </w:p>
    <w:p w14:paraId="7CE3DAC4" w14:textId="75EAE11F" w:rsidR="0078092A" w:rsidRPr="00A249E4" w:rsidRDefault="002A4725" w:rsidP="00183960">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Pr>
          <w:rFonts w:ascii="Times New Roman" w:hAnsi="Times New Roman"/>
          <w:spacing w:val="-3"/>
          <w:sz w:val="22"/>
          <w:szCs w:val="22"/>
        </w:rPr>
        <w:t xml:space="preserve"> </w:t>
      </w:r>
    </w:p>
    <w:p w14:paraId="58EE4036" w14:textId="5C25DEAD" w:rsidR="00183960" w:rsidRPr="00A249E4" w:rsidRDefault="00183960" w:rsidP="00183960">
      <w:pPr>
        <w:tabs>
          <w:tab w:val="left" w:pos="0"/>
          <w:tab w:val="left" w:pos="90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249E4">
        <w:rPr>
          <w:rFonts w:ascii="Times New Roman" w:hAnsi="Times New Roman"/>
          <w:spacing w:val="-3"/>
          <w:sz w:val="22"/>
          <w:szCs w:val="22"/>
        </w:rPr>
        <w:t>To accurately assess whether a company can fulfill its obligations, it must present its liabilities and assets on a financially integrated and consistent basis.</w:t>
      </w:r>
      <w:r w:rsidR="00B24ECF">
        <w:rPr>
          <w:rFonts w:ascii="Times New Roman" w:hAnsi="Times New Roman"/>
          <w:spacing w:val="-3"/>
          <w:sz w:val="22"/>
          <w:szCs w:val="22"/>
        </w:rPr>
        <w:t xml:space="preserve"> </w:t>
      </w:r>
      <w:r w:rsidRPr="00A249E4">
        <w:rPr>
          <w:rFonts w:ascii="Times New Roman" w:hAnsi="Times New Roman"/>
          <w:spacing w:val="-3"/>
          <w:sz w:val="22"/>
          <w:szCs w:val="22"/>
        </w:rPr>
        <w:t xml:space="preserve">If they are inconsistent, then the annual statement will not reveal </w:t>
      </w:r>
      <w:r w:rsidR="00A249E4" w:rsidRPr="00A4186D">
        <w:rPr>
          <w:rFonts w:ascii="Times New Roman" w:hAnsi="Times New Roman"/>
          <w:spacing w:val="-3"/>
          <w:sz w:val="22"/>
          <w:szCs w:val="22"/>
        </w:rPr>
        <w:t>the degree to which</w:t>
      </w:r>
      <w:r w:rsidRPr="003803A7">
        <w:rPr>
          <w:rFonts w:ascii="Times New Roman" w:hAnsi="Times New Roman"/>
          <w:spacing w:val="-3"/>
          <w:sz w:val="22"/>
          <w:szCs w:val="22"/>
        </w:rPr>
        <w:t xml:space="preserve"> assets exceed liabilities</w:t>
      </w:r>
      <w:r w:rsidR="00FD27EF" w:rsidRPr="003803A7">
        <w:rPr>
          <w:rFonts w:ascii="Times New Roman" w:hAnsi="Times New Roman"/>
          <w:spacing w:val="-3"/>
          <w:sz w:val="22"/>
          <w:szCs w:val="22"/>
        </w:rPr>
        <w:t xml:space="preserve"> and</w:t>
      </w:r>
      <w:r w:rsidRPr="003803A7">
        <w:rPr>
          <w:rFonts w:ascii="Times New Roman" w:hAnsi="Times New Roman"/>
          <w:spacing w:val="-3"/>
          <w:sz w:val="22"/>
          <w:szCs w:val="22"/>
        </w:rPr>
        <w:t xml:space="preserve"> neither regulators nor management can </w:t>
      </w:r>
      <w:r w:rsidR="009A3A83" w:rsidRPr="003803A7">
        <w:rPr>
          <w:rFonts w:ascii="Times New Roman" w:hAnsi="Times New Roman"/>
          <w:spacing w:val="-3"/>
          <w:sz w:val="22"/>
          <w:szCs w:val="22"/>
        </w:rPr>
        <w:t xml:space="preserve">appropriately </w:t>
      </w:r>
      <w:r w:rsidRPr="003803A7">
        <w:rPr>
          <w:rFonts w:ascii="Times New Roman" w:hAnsi="Times New Roman"/>
          <w:spacing w:val="-3"/>
          <w:sz w:val="22"/>
          <w:szCs w:val="22"/>
        </w:rPr>
        <w:t>determine the risk of insolvency for the company</w:t>
      </w:r>
      <w:r w:rsidR="00566E85" w:rsidRPr="003803A7">
        <w:rPr>
          <w:rFonts w:ascii="Times New Roman" w:hAnsi="Times New Roman"/>
          <w:spacing w:val="-3"/>
          <w:sz w:val="22"/>
          <w:szCs w:val="22"/>
        </w:rPr>
        <w:t>.</w:t>
      </w:r>
      <w:r w:rsidR="007F0CF4" w:rsidRPr="003803A7">
        <w:rPr>
          <w:rFonts w:ascii="Times New Roman" w:hAnsi="Times New Roman"/>
          <w:spacing w:val="-3"/>
          <w:sz w:val="22"/>
          <w:szCs w:val="22"/>
        </w:rPr>
        <w:t xml:space="preserve"> Taken further,</w:t>
      </w:r>
      <w:r w:rsidR="00A249E4" w:rsidRPr="003803A7">
        <w:rPr>
          <w:rFonts w:ascii="Times New Roman" w:hAnsi="Times New Roman"/>
          <w:spacing w:val="-3"/>
          <w:sz w:val="22"/>
          <w:szCs w:val="22"/>
        </w:rPr>
        <w:t xml:space="preserve"> limiting IMR</w:t>
      </w:r>
      <w:r w:rsidR="00413183">
        <w:rPr>
          <w:rFonts w:ascii="Times New Roman" w:hAnsi="Times New Roman"/>
          <w:spacing w:val="-3"/>
          <w:sz w:val="22"/>
          <w:szCs w:val="22"/>
        </w:rPr>
        <w:t xml:space="preserve"> balances</w:t>
      </w:r>
      <w:r w:rsidR="007F0CF4" w:rsidRPr="003803A7">
        <w:rPr>
          <w:rFonts w:ascii="Times New Roman" w:hAnsi="Times New Roman"/>
          <w:spacing w:val="-3"/>
          <w:sz w:val="22"/>
          <w:szCs w:val="22"/>
        </w:rPr>
        <w:t xml:space="preserve"> creates an inconsistency within the Statutory framework and would generate false solvency signals for regulators. </w:t>
      </w:r>
      <w:r w:rsidR="005F63D5">
        <w:rPr>
          <w:rFonts w:ascii="Times New Roman" w:hAnsi="Times New Roman"/>
          <w:spacing w:val="-3"/>
          <w:sz w:val="22"/>
          <w:szCs w:val="22"/>
        </w:rPr>
        <w:t>L</w:t>
      </w:r>
      <w:r w:rsidR="007C4722">
        <w:rPr>
          <w:rFonts w:ascii="Times New Roman" w:hAnsi="Times New Roman"/>
          <w:spacing w:val="-3"/>
          <w:sz w:val="22"/>
          <w:szCs w:val="22"/>
        </w:rPr>
        <w:t>imiting IMR balances c</w:t>
      </w:r>
      <w:r w:rsidR="005F63D5">
        <w:rPr>
          <w:rFonts w:ascii="Times New Roman" w:hAnsi="Times New Roman"/>
          <w:spacing w:val="-3"/>
          <w:sz w:val="22"/>
          <w:szCs w:val="22"/>
        </w:rPr>
        <w:t>an also</w:t>
      </w:r>
      <w:r w:rsidR="007C4722">
        <w:rPr>
          <w:rFonts w:ascii="Times New Roman" w:hAnsi="Times New Roman"/>
          <w:spacing w:val="-3"/>
          <w:sz w:val="22"/>
          <w:szCs w:val="22"/>
        </w:rPr>
        <w:t xml:space="preserve"> </w:t>
      </w:r>
      <w:r w:rsidR="007C4722" w:rsidRPr="00A249E4">
        <w:rPr>
          <w:rFonts w:ascii="Times New Roman" w:hAnsi="Times New Roman"/>
          <w:spacing w:val="-3"/>
          <w:sz w:val="22"/>
          <w:szCs w:val="22"/>
        </w:rPr>
        <w:t>disincentiv</w:t>
      </w:r>
      <w:r w:rsidR="007C4722">
        <w:rPr>
          <w:rFonts w:ascii="Times New Roman" w:hAnsi="Times New Roman"/>
          <w:spacing w:val="-3"/>
          <w:sz w:val="22"/>
          <w:szCs w:val="22"/>
        </w:rPr>
        <w:t>iz</w:t>
      </w:r>
      <w:r w:rsidR="007C4722" w:rsidRPr="00A249E4">
        <w:rPr>
          <w:rFonts w:ascii="Times New Roman" w:hAnsi="Times New Roman"/>
          <w:spacing w:val="-3"/>
          <w:sz w:val="22"/>
          <w:szCs w:val="22"/>
        </w:rPr>
        <w:t>e prudent interest rate risk management</w:t>
      </w:r>
      <w:r w:rsidR="007C4722">
        <w:rPr>
          <w:rFonts w:ascii="Times New Roman" w:hAnsi="Times New Roman"/>
          <w:spacing w:val="-3"/>
          <w:sz w:val="22"/>
          <w:szCs w:val="22"/>
        </w:rPr>
        <w:t>.</w:t>
      </w:r>
      <w:r w:rsidR="007C4722" w:rsidRPr="003803A7">
        <w:rPr>
          <w:rFonts w:ascii="Times New Roman" w:hAnsi="Times New Roman"/>
          <w:spacing w:val="-3"/>
          <w:sz w:val="22"/>
          <w:szCs w:val="22"/>
        </w:rPr>
        <w:t xml:space="preserve"> </w:t>
      </w:r>
      <w:r w:rsidR="000C073A" w:rsidRPr="003803A7">
        <w:rPr>
          <w:rFonts w:ascii="Times New Roman" w:hAnsi="Times New Roman"/>
          <w:spacing w:val="-3"/>
          <w:sz w:val="22"/>
          <w:szCs w:val="22"/>
        </w:rPr>
        <w:t xml:space="preserve">By appropriately </w:t>
      </w:r>
      <w:r w:rsidR="00985FCA" w:rsidRPr="003803A7">
        <w:rPr>
          <w:rFonts w:ascii="Times New Roman" w:hAnsi="Times New Roman"/>
          <w:spacing w:val="-3"/>
          <w:sz w:val="22"/>
          <w:szCs w:val="22"/>
        </w:rPr>
        <w:t>recognizing fixed income gains</w:t>
      </w:r>
      <w:r w:rsidR="00A249E4" w:rsidRPr="003803A7">
        <w:rPr>
          <w:rFonts w:ascii="Times New Roman" w:hAnsi="Times New Roman"/>
          <w:spacing w:val="-3"/>
          <w:sz w:val="22"/>
          <w:szCs w:val="22"/>
        </w:rPr>
        <w:t xml:space="preserve"> </w:t>
      </w:r>
      <w:r w:rsidR="00A249E4" w:rsidRPr="00A4186D">
        <w:rPr>
          <w:rFonts w:ascii="Times New Roman" w:hAnsi="Times New Roman"/>
          <w:spacing w:val="-3"/>
          <w:sz w:val="22"/>
          <w:szCs w:val="22"/>
        </w:rPr>
        <w:t>and losses</w:t>
      </w:r>
      <w:r w:rsidR="00985FCA" w:rsidRPr="00A249E4">
        <w:rPr>
          <w:rFonts w:ascii="Times New Roman" w:hAnsi="Times New Roman"/>
          <w:spacing w:val="-3"/>
          <w:sz w:val="22"/>
          <w:szCs w:val="22"/>
        </w:rPr>
        <w:t xml:space="preserve"> within the Statutory framework, t</w:t>
      </w:r>
      <w:r w:rsidRPr="00A249E4">
        <w:rPr>
          <w:rFonts w:ascii="Times New Roman" w:hAnsi="Times New Roman"/>
          <w:spacing w:val="-3"/>
          <w:sz w:val="22"/>
          <w:szCs w:val="22"/>
        </w:rPr>
        <w:t xml:space="preserve">he IMR prevents </w:t>
      </w:r>
      <w:r w:rsidR="00A93CDA" w:rsidRPr="00A249E4">
        <w:rPr>
          <w:rFonts w:ascii="Times New Roman" w:hAnsi="Times New Roman"/>
          <w:spacing w:val="-3"/>
          <w:sz w:val="22"/>
          <w:szCs w:val="22"/>
        </w:rPr>
        <w:t xml:space="preserve">the </w:t>
      </w:r>
      <w:r w:rsidRPr="00A249E4">
        <w:rPr>
          <w:rFonts w:ascii="Times New Roman" w:hAnsi="Times New Roman"/>
          <w:spacing w:val="-3"/>
          <w:sz w:val="22"/>
          <w:szCs w:val="22"/>
        </w:rPr>
        <w:t xml:space="preserve">misrepresentation of surplus </w:t>
      </w:r>
      <w:r w:rsidR="00A93CDA" w:rsidRPr="00A249E4">
        <w:rPr>
          <w:rFonts w:ascii="Times New Roman" w:hAnsi="Times New Roman"/>
          <w:spacing w:val="-3"/>
          <w:sz w:val="22"/>
          <w:szCs w:val="22"/>
        </w:rPr>
        <w:t>from changes in interest rates</w:t>
      </w:r>
      <w:r w:rsidRPr="00A249E4">
        <w:rPr>
          <w:rFonts w:ascii="Times New Roman" w:hAnsi="Times New Roman"/>
          <w:spacing w:val="-3"/>
          <w:sz w:val="22"/>
          <w:szCs w:val="22"/>
        </w:rPr>
        <w:t>.</w:t>
      </w:r>
    </w:p>
    <w:p w14:paraId="3527BA55" w14:textId="4BC46A05" w:rsidR="00B75E2E" w:rsidRDefault="00B75E2E">
      <w:pPr>
        <w:spacing w:after="160" w:line="259" w:lineRule="auto"/>
        <w:rPr>
          <w:rFonts w:ascii="Times New Roman" w:hAnsi="Times New Roman"/>
          <w:szCs w:val="24"/>
        </w:rPr>
      </w:pPr>
      <w:r>
        <w:rPr>
          <w:rFonts w:ascii="Times New Roman" w:hAnsi="Times New Roman"/>
          <w:szCs w:val="24"/>
        </w:rPr>
        <w:br w:type="page"/>
      </w:r>
    </w:p>
    <w:p w14:paraId="3FA53C7A" w14:textId="77777777" w:rsidR="004E4EAA" w:rsidRPr="00A8711F" w:rsidRDefault="004E4EAA" w:rsidP="004E4EAA">
      <w:pPr>
        <w:rPr>
          <w:rFonts w:ascii="Times New Roman" w:hAnsi="Times New Roman"/>
          <w:b/>
          <w:bCs/>
          <w:sz w:val="22"/>
          <w:szCs w:val="22"/>
          <w:u w:val="single"/>
        </w:rPr>
      </w:pPr>
      <w:r w:rsidRPr="00A8711F">
        <w:rPr>
          <w:rFonts w:ascii="Times New Roman" w:hAnsi="Times New Roman"/>
          <w:b/>
          <w:bCs/>
          <w:sz w:val="22"/>
          <w:szCs w:val="22"/>
          <w:u w:val="single"/>
        </w:rPr>
        <w:lastRenderedPageBreak/>
        <w:t>Appendix 1 – IMR in the context of Principle-Based Reserving (PBR)</w:t>
      </w:r>
    </w:p>
    <w:p w14:paraId="410DDA01" w14:textId="77777777" w:rsidR="004E4EAA" w:rsidRPr="00A8711F" w:rsidRDefault="004E4EAA" w:rsidP="004E4EAA">
      <w:pPr>
        <w:jc w:val="both"/>
        <w:rPr>
          <w:rFonts w:ascii="Times New Roman" w:hAnsi="Times New Roman"/>
          <w:sz w:val="22"/>
          <w:szCs w:val="22"/>
        </w:rPr>
      </w:pPr>
    </w:p>
    <w:p w14:paraId="4B712F5B" w14:textId="77777777" w:rsidR="004E4EAA" w:rsidRPr="00A8711F" w:rsidRDefault="004E4EAA" w:rsidP="004E4EAA">
      <w:pPr>
        <w:jc w:val="both"/>
        <w:rPr>
          <w:rFonts w:ascii="Times New Roman" w:hAnsi="Times New Roman"/>
          <w:sz w:val="22"/>
          <w:szCs w:val="22"/>
        </w:rPr>
      </w:pPr>
      <w:r w:rsidRPr="00A8711F">
        <w:rPr>
          <w:rFonts w:ascii="Times New Roman" w:hAnsi="Times New Roman"/>
          <w:sz w:val="22"/>
          <w:szCs w:val="22"/>
        </w:rPr>
        <w:t>PBR is a relatively recently developed method for calculating U.S. statutory reserves that intends to better quantify product risks. Distinctive to PBR in the Statutory framework, the approach considers a range of future economic scenarios and uses justified company-specific assumptions that can change over time as company experience emerges, subject to regulatory guardrails. PBR is generally applicable for individual life insurance contracts issued 2020 and later (VM-20) and for all variable annuity contracts (VM-21). PBR is expected to apply to fixed annuity contracts issued 2025 and later (VM-22). Minimum reserves under PBR are the maximum of a formula-based reserve and modeled reserves.</w:t>
      </w:r>
    </w:p>
    <w:p w14:paraId="50328B7A" w14:textId="77777777" w:rsidR="004E4EAA" w:rsidRPr="00A8711F" w:rsidRDefault="004E4EAA" w:rsidP="004E4EAA">
      <w:pPr>
        <w:jc w:val="both"/>
        <w:rPr>
          <w:rFonts w:ascii="Times New Roman" w:hAnsi="Times New Roman"/>
          <w:sz w:val="22"/>
          <w:szCs w:val="22"/>
        </w:rPr>
      </w:pPr>
    </w:p>
    <w:p w14:paraId="3E1DA3DB" w14:textId="77777777" w:rsidR="004E4EAA" w:rsidRPr="00A8711F" w:rsidRDefault="004E4EAA" w:rsidP="004E4EAA">
      <w:pPr>
        <w:jc w:val="both"/>
        <w:rPr>
          <w:rFonts w:ascii="Times New Roman" w:hAnsi="Times New Roman"/>
          <w:sz w:val="22"/>
          <w:szCs w:val="22"/>
        </w:rPr>
      </w:pPr>
      <w:r w:rsidRPr="00A8711F">
        <w:rPr>
          <w:rFonts w:ascii="Times New Roman" w:hAnsi="Times New Roman"/>
          <w:sz w:val="22"/>
          <w:szCs w:val="22"/>
        </w:rPr>
        <w:t>For PBR’s formula-based reserves, the accounting basis is “frozen” and “locked in” at issue and does not reflect underlying assets or a company’s investment strategy (e.g., the net premium reserve). As a result, the existing IMR construct works in tandem with PBR’s formula-based reserves to maintain consistency between the liability and asset valuations when the asset valuation is unlocked due to asset sales.</w:t>
      </w:r>
    </w:p>
    <w:p w14:paraId="1223EEEA" w14:textId="77777777" w:rsidR="004E4EAA" w:rsidRPr="00A8711F" w:rsidRDefault="004E4EAA" w:rsidP="004E4EAA">
      <w:pPr>
        <w:jc w:val="both"/>
        <w:rPr>
          <w:rFonts w:ascii="Times New Roman" w:hAnsi="Times New Roman"/>
          <w:sz w:val="22"/>
          <w:szCs w:val="22"/>
        </w:rPr>
      </w:pPr>
    </w:p>
    <w:p w14:paraId="07913F22" w14:textId="77777777" w:rsidR="004E4EAA" w:rsidRPr="00A8711F" w:rsidRDefault="004E4EAA" w:rsidP="004E4EAA">
      <w:pPr>
        <w:jc w:val="both"/>
        <w:rPr>
          <w:rFonts w:ascii="Times New Roman" w:hAnsi="Times New Roman"/>
          <w:sz w:val="22"/>
          <w:szCs w:val="22"/>
        </w:rPr>
      </w:pPr>
      <w:r w:rsidRPr="00A8711F">
        <w:rPr>
          <w:rFonts w:ascii="Times New Roman" w:hAnsi="Times New Roman"/>
          <w:sz w:val="22"/>
          <w:szCs w:val="22"/>
        </w:rPr>
        <w:t>For PBR’s modeled reserves, the accounting basis is not “frozen” but is unlocked over time with assumptions that reflect company experience in its cash flow models (e.g., the deterministic reserve and the stochastic reserve). Under PBR’s modeled reserves, the reserves reflect the company’s underlying assets and investment strategy, and the impact of asset gains or losses is reflected in the modeled reserve calculation. Distinctive to the modeled reserve component(s) of PBR, the modeled reserves then reflect an explicit adjustment for IMR so that there is no surplus impact at time of asset sale.</w:t>
      </w:r>
    </w:p>
    <w:p w14:paraId="6A2FB0B3" w14:textId="77777777" w:rsidR="004E4EAA" w:rsidRPr="00A8711F" w:rsidRDefault="004E4EAA" w:rsidP="004E4EAA">
      <w:pPr>
        <w:jc w:val="both"/>
        <w:rPr>
          <w:rFonts w:ascii="Times New Roman" w:hAnsi="Times New Roman"/>
          <w:sz w:val="22"/>
          <w:szCs w:val="22"/>
        </w:rPr>
      </w:pPr>
    </w:p>
    <w:p w14:paraId="429AA974" w14:textId="77777777" w:rsidR="004E4EAA" w:rsidRPr="00A8711F" w:rsidRDefault="004E4EAA" w:rsidP="004E4EAA">
      <w:pPr>
        <w:jc w:val="both"/>
        <w:rPr>
          <w:rFonts w:ascii="Times New Roman" w:hAnsi="Times New Roman"/>
          <w:sz w:val="22"/>
          <w:szCs w:val="22"/>
        </w:rPr>
      </w:pPr>
      <w:r w:rsidRPr="00A8711F">
        <w:rPr>
          <w:rFonts w:ascii="Times New Roman" w:hAnsi="Times New Roman"/>
          <w:sz w:val="22"/>
          <w:szCs w:val="22"/>
        </w:rPr>
        <w:t>In summary, the IMR construct is necessary for consistent liability valuation under PBR’s formula-based reserves and is already explicitly reflected and accounted for under PBR’s modeled reserves.</w:t>
      </w:r>
    </w:p>
    <w:p w14:paraId="4263AC98" w14:textId="77777777" w:rsidR="004E4EAA" w:rsidRPr="00A8711F" w:rsidRDefault="004E4EAA" w:rsidP="004E4EAA">
      <w:pPr>
        <w:rPr>
          <w:rFonts w:ascii="Times New Roman" w:hAnsi="Times New Roman"/>
          <w:sz w:val="22"/>
          <w:szCs w:val="22"/>
        </w:rPr>
      </w:pPr>
    </w:p>
    <w:p w14:paraId="04E11AD0" w14:textId="77777777" w:rsidR="004E4EAA" w:rsidRPr="00A8711F" w:rsidRDefault="004E4EAA" w:rsidP="004E4EAA">
      <w:pPr>
        <w:spacing w:after="160" w:line="259" w:lineRule="auto"/>
        <w:rPr>
          <w:rFonts w:ascii="Times New Roman" w:hAnsi="Times New Roman"/>
          <w:b/>
          <w:bCs/>
          <w:sz w:val="22"/>
          <w:szCs w:val="22"/>
          <w:u w:val="single"/>
        </w:rPr>
      </w:pPr>
      <w:r w:rsidRPr="00A8711F">
        <w:rPr>
          <w:rFonts w:ascii="Times New Roman" w:hAnsi="Times New Roman"/>
          <w:b/>
          <w:bCs/>
          <w:sz w:val="22"/>
          <w:szCs w:val="22"/>
          <w:u w:val="single"/>
        </w:rPr>
        <w:br w:type="page"/>
      </w:r>
    </w:p>
    <w:p w14:paraId="4ACE5E00" w14:textId="77777777" w:rsidR="004E4EAA" w:rsidRPr="00A8711F" w:rsidRDefault="004E4EAA" w:rsidP="004E4EAA">
      <w:pPr>
        <w:rPr>
          <w:rFonts w:ascii="Times New Roman" w:hAnsi="Times New Roman"/>
          <w:b/>
          <w:bCs/>
          <w:sz w:val="22"/>
          <w:szCs w:val="22"/>
          <w:u w:val="single"/>
        </w:rPr>
      </w:pPr>
      <w:r w:rsidRPr="00A8711F">
        <w:rPr>
          <w:rFonts w:ascii="Times New Roman" w:hAnsi="Times New Roman"/>
          <w:b/>
          <w:bCs/>
          <w:sz w:val="22"/>
          <w:szCs w:val="22"/>
          <w:u w:val="single"/>
        </w:rPr>
        <w:lastRenderedPageBreak/>
        <w:t>Appendix 2 – IMR in the context of Asset Adequacy Testing (AAT)</w:t>
      </w:r>
    </w:p>
    <w:p w14:paraId="69F907EE" w14:textId="77777777" w:rsidR="004E4EAA" w:rsidRPr="00A8711F" w:rsidRDefault="004E4EAA" w:rsidP="004E4EAA">
      <w:pPr>
        <w:rPr>
          <w:rFonts w:ascii="Times New Roman" w:hAnsi="Times New Roman"/>
          <w:sz w:val="22"/>
          <w:szCs w:val="22"/>
        </w:rPr>
      </w:pPr>
    </w:p>
    <w:p w14:paraId="11B21ED0" w14:textId="77777777" w:rsidR="004E4EAA" w:rsidRPr="00A8711F" w:rsidRDefault="004E4EAA" w:rsidP="004E4EAA">
      <w:pPr>
        <w:jc w:val="both"/>
        <w:rPr>
          <w:rFonts w:ascii="Times New Roman" w:hAnsi="Times New Roman"/>
          <w:sz w:val="22"/>
          <w:szCs w:val="22"/>
        </w:rPr>
      </w:pPr>
      <w:r w:rsidRPr="00A8711F">
        <w:rPr>
          <w:rFonts w:ascii="Times New Roman" w:hAnsi="Times New Roman"/>
          <w:sz w:val="22"/>
          <w:szCs w:val="22"/>
        </w:rPr>
        <w:t>Asset adequacy analysis is an analysis of the adequacy of reserves and other liabilities, considering the assets supporting such reserves and other liabilities under moderately adverse conditions. If additional assets are needed, then the actuary should establish an additional reserve equal to the value of those additional assets.</w:t>
      </w:r>
    </w:p>
    <w:p w14:paraId="7954D3DF" w14:textId="77777777" w:rsidR="004E4EAA" w:rsidRPr="00A8711F" w:rsidRDefault="004E4EAA" w:rsidP="004E4EAA">
      <w:pPr>
        <w:jc w:val="both"/>
        <w:rPr>
          <w:rFonts w:ascii="Times New Roman" w:hAnsi="Times New Roman"/>
          <w:sz w:val="22"/>
          <w:szCs w:val="22"/>
        </w:rPr>
      </w:pPr>
    </w:p>
    <w:p w14:paraId="465108B3" w14:textId="7996B631" w:rsidR="004E4EAA" w:rsidRPr="00A8711F" w:rsidRDefault="004E4EAA" w:rsidP="004E4EAA">
      <w:pPr>
        <w:jc w:val="both"/>
        <w:rPr>
          <w:rFonts w:ascii="Times New Roman" w:hAnsi="Times New Roman"/>
          <w:sz w:val="22"/>
          <w:szCs w:val="22"/>
        </w:rPr>
      </w:pPr>
      <w:r w:rsidRPr="00A8711F">
        <w:rPr>
          <w:rFonts w:ascii="Times New Roman" w:hAnsi="Times New Roman"/>
          <w:sz w:val="22"/>
          <w:szCs w:val="22"/>
        </w:rPr>
        <w:t xml:space="preserve">A common form of asset adequacy analysis is cash flow testing, which is the projection and comparison of the timing and amount of cash flows under one or more scenarios. Conceptually, cash flow testing is </w:t>
      </w:r>
      <w:proofErr w:type="gramStart"/>
      <w:r w:rsidRPr="00A8711F">
        <w:rPr>
          <w:rFonts w:ascii="Times New Roman" w:hAnsi="Times New Roman"/>
          <w:sz w:val="22"/>
          <w:szCs w:val="22"/>
        </w:rPr>
        <w:t>similar to</w:t>
      </w:r>
      <w:proofErr w:type="gramEnd"/>
      <w:r w:rsidRPr="00A8711F">
        <w:rPr>
          <w:rFonts w:ascii="Times New Roman" w:hAnsi="Times New Roman"/>
          <w:sz w:val="22"/>
          <w:szCs w:val="22"/>
        </w:rPr>
        <w:t xml:space="preserve"> the deterministic reserve, or a set of deterministic reserves, under PBR as discussed in Appendix 1.</w:t>
      </w:r>
    </w:p>
    <w:p w14:paraId="2DC78A14" w14:textId="77777777" w:rsidR="004E4EAA" w:rsidRPr="00A8711F" w:rsidRDefault="004E4EAA" w:rsidP="004E4EAA">
      <w:pPr>
        <w:jc w:val="both"/>
        <w:rPr>
          <w:rFonts w:ascii="Times New Roman" w:hAnsi="Times New Roman"/>
          <w:sz w:val="22"/>
          <w:szCs w:val="22"/>
        </w:rPr>
      </w:pPr>
    </w:p>
    <w:p w14:paraId="5B08ECF1" w14:textId="50A54ADA" w:rsidR="004E4EAA" w:rsidRPr="00A8711F" w:rsidRDefault="004E4EAA" w:rsidP="004E4EAA">
      <w:pPr>
        <w:jc w:val="both"/>
        <w:rPr>
          <w:rFonts w:ascii="Times New Roman" w:hAnsi="Times New Roman"/>
          <w:sz w:val="22"/>
          <w:szCs w:val="22"/>
        </w:rPr>
      </w:pPr>
      <w:r w:rsidRPr="00A8711F">
        <w:rPr>
          <w:rFonts w:ascii="Times New Roman" w:hAnsi="Times New Roman"/>
          <w:sz w:val="22"/>
          <w:szCs w:val="22"/>
        </w:rPr>
        <w:t xml:space="preserve">In 2022 and 2023, the NAIC’s Life Actuarial (A) Task Force provided guidance on allocating negative IMR for PBR and AAT. This guidance recommended that any portion of negative IMR that is an admitted asset should be allocated for PBR and AAT in a principle-based, reasonable, and appropriate manner that would be consistent with the handling of </w:t>
      </w:r>
      <w:r w:rsidR="00725A7F">
        <w:rPr>
          <w:rFonts w:ascii="Times New Roman" w:hAnsi="Times New Roman"/>
          <w:sz w:val="22"/>
          <w:szCs w:val="22"/>
        </w:rPr>
        <w:t xml:space="preserve">negative </w:t>
      </w:r>
      <w:r w:rsidRPr="00A8711F">
        <w:rPr>
          <w:rFonts w:ascii="Times New Roman" w:hAnsi="Times New Roman"/>
          <w:sz w:val="22"/>
          <w:szCs w:val="22"/>
        </w:rPr>
        <w:t>IMR. Effectively, AAT explicitly accounts for admitted negative IMR by reducing the amount of interest-earning assets. Likewise, AAT can reflect positive IMR by allowing for a larger starting balance of interest-earning assets. In summary, AAT has been designed in tandem with the IMR construct to ensure the consistent valuation of assets and liabilities within the Statutory framework.</w:t>
      </w:r>
    </w:p>
    <w:p w14:paraId="0076C4ED" w14:textId="77777777" w:rsidR="004E4EAA" w:rsidRPr="00A8711F" w:rsidRDefault="004E4EAA" w:rsidP="004E4EAA">
      <w:pPr>
        <w:rPr>
          <w:rFonts w:ascii="Times New Roman" w:hAnsi="Times New Roman"/>
          <w:sz w:val="22"/>
          <w:szCs w:val="22"/>
        </w:rPr>
      </w:pPr>
    </w:p>
    <w:p w14:paraId="676D76BC" w14:textId="77777777" w:rsidR="004E4EAA" w:rsidRPr="00A8711F" w:rsidRDefault="004E4EAA" w:rsidP="004E4EAA">
      <w:pPr>
        <w:spacing w:after="160" w:line="259" w:lineRule="auto"/>
        <w:rPr>
          <w:rFonts w:ascii="Times New Roman" w:hAnsi="Times New Roman"/>
          <w:b/>
          <w:bCs/>
          <w:sz w:val="22"/>
          <w:szCs w:val="22"/>
          <w:u w:val="single"/>
        </w:rPr>
      </w:pPr>
      <w:r w:rsidRPr="00A8711F">
        <w:rPr>
          <w:rFonts w:ascii="Times New Roman" w:hAnsi="Times New Roman"/>
          <w:b/>
          <w:bCs/>
          <w:sz w:val="22"/>
          <w:szCs w:val="22"/>
          <w:u w:val="single"/>
        </w:rPr>
        <w:br w:type="page"/>
      </w:r>
    </w:p>
    <w:p w14:paraId="6D7104CE" w14:textId="77777777" w:rsidR="004E4EAA" w:rsidRPr="00A8711F" w:rsidRDefault="004E4EAA" w:rsidP="004E4EAA">
      <w:pPr>
        <w:rPr>
          <w:rFonts w:ascii="Times New Roman" w:hAnsi="Times New Roman"/>
          <w:sz w:val="22"/>
          <w:szCs w:val="22"/>
        </w:rPr>
      </w:pPr>
      <w:r w:rsidRPr="00A8711F">
        <w:rPr>
          <w:rFonts w:ascii="Times New Roman" w:hAnsi="Times New Roman"/>
          <w:b/>
          <w:bCs/>
          <w:sz w:val="22"/>
          <w:szCs w:val="22"/>
          <w:u w:val="single"/>
        </w:rPr>
        <w:lastRenderedPageBreak/>
        <w:t>Appendix 3 – IMR in the context of Derivative Hedging Transactions</w:t>
      </w:r>
    </w:p>
    <w:p w14:paraId="23D23777" w14:textId="77777777" w:rsidR="004E4EAA" w:rsidRPr="00A8711F" w:rsidRDefault="004E4EAA" w:rsidP="004E4EAA">
      <w:pPr>
        <w:jc w:val="both"/>
        <w:rPr>
          <w:rFonts w:ascii="Times New Roman" w:hAnsi="Times New Roman"/>
          <w:sz w:val="22"/>
          <w:szCs w:val="22"/>
        </w:rPr>
      </w:pPr>
    </w:p>
    <w:p w14:paraId="52A6A7F8" w14:textId="77777777" w:rsidR="004E4EAA" w:rsidRPr="00A8711F" w:rsidRDefault="004E4EAA" w:rsidP="004E4EAA">
      <w:pPr>
        <w:jc w:val="both"/>
        <w:rPr>
          <w:rFonts w:ascii="Times New Roman" w:hAnsi="Times New Roman"/>
          <w:spacing w:val="-3"/>
          <w:sz w:val="22"/>
          <w:szCs w:val="22"/>
        </w:rPr>
      </w:pPr>
      <w:r w:rsidRPr="00A8711F">
        <w:rPr>
          <w:rFonts w:ascii="Times New Roman" w:hAnsi="Times New Roman"/>
          <w:sz w:val="22"/>
          <w:szCs w:val="22"/>
        </w:rPr>
        <w:t>The applicability of the IMR construct to gains or losses from derivative hedging transactions flows from the concepts outlined in the earlier text. To illustrate its importance within plausible ALM strategies, the example outlined here in Appendix 3</w:t>
      </w:r>
      <w:r w:rsidRPr="00A8711F">
        <w:rPr>
          <w:rFonts w:ascii="Times New Roman" w:hAnsi="Times New Roman"/>
          <w:spacing w:val="-3"/>
          <w:sz w:val="22"/>
          <w:szCs w:val="22"/>
        </w:rPr>
        <w:t xml:space="preserve"> assumes a more complex and realistic set of insurance liabilities.</w:t>
      </w:r>
    </w:p>
    <w:p w14:paraId="5E86C9D5" w14:textId="77777777" w:rsidR="004E4EAA" w:rsidRPr="00A8711F" w:rsidRDefault="004E4EAA" w:rsidP="004E4EAA">
      <w:pPr>
        <w:jc w:val="both"/>
        <w:rPr>
          <w:rFonts w:ascii="Times New Roman" w:hAnsi="Times New Roman"/>
          <w:spacing w:val="-3"/>
          <w:sz w:val="22"/>
          <w:szCs w:val="22"/>
        </w:rPr>
      </w:pPr>
    </w:p>
    <w:p w14:paraId="73F9CA11" w14:textId="77777777" w:rsidR="004E4EAA" w:rsidRPr="00A8711F" w:rsidRDefault="004E4EAA" w:rsidP="004E4EAA">
      <w:pPr>
        <w:jc w:val="both"/>
        <w:rPr>
          <w:rFonts w:ascii="Times New Roman" w:hAnsi="Times New Roman"/>
          <w:spacing w:val="-3"/>
          <w:sz w:val="22"/>
          <w:szCs w:val="22"/>
          <w:u w:val="single"/>
        </w:rPr>
      </w:pPr>
      <w:r w:rsidRPr="00A8711F">
        <w:rPr>
          <w:rFonts w:ascii="Times New Roman" w:hAnsi="Times New Roman"/>
          <w:spacing w:val="-3"/>
          <w:sz w:val="22"/>
          <w:szCs w:val="22"/>
          <w:u w:val="single"/>
        </w:rPr>
        <w:t>Example 3</w:t>
      </w:r>
    </w:p>
    <w:p w14:paraId="50C9D846" w14:textId="77777777" w:rsidR="004E4EAA" w:rsidRPr="00A8711F" w:rsidRDefault="004E4EAA" w:rsidP="004E4EAA">
      <w:pPr>
        <w:jc w:val="both"/>
        <w:rPr>
          <w:rFonts w:ascii="Times New Roman" w:hAnsi="Times New Roman"/>
          <w:spacing w:val="-3"/>
          <w:sz w:val="22"/>
          <w:szCs w:val="22"/>
        </w:rPr>
      </w:pPr>
    </w:p>
    <w:p w14:paraId="6A7AD70F" w14:textId="2C9E1274" w:rsidR="004E4EAA" w:rsidRPr="00A8711F" w:rsidRDefault="004E4EAA" w:rsidP="004E4EAA">
      <w:pPr>
        <w:jc w:val="both"/>
        <w:rPr>
          <w:rFonts w:ascii="Times New Roman" w:hAnsi="Times New Roman"/>
          <w:spacing w:val="-3"/>
          <w:sz w:val="22"/>
          <w:szCs w:val="22"/>
        </w:rPr>
      </w:pPr>
      <w:r w:rsidRPr="00A8711F">
        <w:rPr>
          <w:rFonts w:ascii="Times New Roman" w:hAnsi="Times New Roman"/>
          <w:spacing w:val="-3"/>
          <w:sz w:val="22"/>
          <w:szCs w:val="22"/>
        </w:rPr>
        <w:t>Assume Company XYZ issues life insurance contracts where the premiums come in each year until death and there is a payment upon death estimated to occur at the end of 5 years. Assume Company XYZ is again starting out with $10 of surplus invested in equity securities (again, assume no change in value over the period of valuation).</w:t>
      </w:r>
      <w:r w:rsidR="00B24ECF">
        <w:rPr>
          <w:rFonts w:ascii="Times New Roman" w:hAnsi="Times New Roman"/>
          <w:spacing w:val="-3"/>
          <w:sz w:val="22"/>
          <w:szCs w:val="22"/>
        </w:rPr>
        <w:t xml:space="preserve"> </w:t>
      </w:r>
      <w:r w:rsidRPr="00A8711F">
        <w:rPr>
          <w:rFonts w:ascii="Times New Roman" w:hAnsi="Times New Roman"/>
          <w:spacing w:val="-3"/>
          <w:sz w:val="22"/>
          <w:szCs w:val="22"/>
        </w:rPr>
        <w:t>The current interest rate environment is such that the fixed income bond yield and the insurance liability valuation rate are again both 4%, and Company XYZ:</w:t>
      </w:r>
    </w:p>
    <w:p w14:paraId="05994E4B" w14:textId="180EA59F" w:rsidR="004E4EAA" w:rsidRPr="00A8711F" w:rsidRDefault="004E4EAA" w:rsidP="004E4EAA">
      <w:pPr>
        <w:pStyle w:val="ListParagraph"/>
        <w:numPr>
          <w:ilvl w:val="0"/>
          <w:numId w:val="6"/>
        </w:num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8711F">
        <w:rPr>
          <w:rFonts w:ascii="Times New Roman" w:hAnsi="Times New Roman"/>
          <w:spacing w:val="-3"/>
          <w:sz w:val="22"/>
          <w:szCs w:val="22"/>
        </w:rPr>
        <w:t>Sells 100 insurance contracts that pay $1 upon death for yearly premiums of 18.47 cents at the end of each year 1 through 5.</w:t>
      </w:r>
      <w:r w:rsidR="00B24ECF">
        <w:rPr>
          <w:rFonts w:ascii="Times New Roman" w:hAnsi="Times New Roman"/>
          <w:spacing w:val="-3"/>
          <w:sz w:val="22"/>
          <w:szCs w:val="22"/>
        </w:rPr>
        <w:t xml:space="preserve"> </w:t>
      </w:r>
    </w:p>
    <w:p w14:paraId="655D3FAD" w14:textId="77777777" w:rsidR="004E4EAA" w:rsidRPr="00A8711F" w:rsidRDefault="004E4EAA" w:rsidP="004E4EAA">
      <w:pPr>
        <w:pStyle w:val="ListParagraph"/>
        <w:numPr>
          <w:ilvl w:val="0"/>
          <w:numId w:val="6"/>
        </w:num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8711F">
        <w:rPr>
          <w:rFonts w:ascii="Times New Roman" w:hAnsi="Times New Roman"/>
          <w:spacing w:val="-3"/>
          <w:sz w:val="22"/>
          <w:szCs w:val="22"/>
        </w:rPr>
        <w:t>Purchases bonds with a coupon rate of 4%, with all premiums and coupons received, maturing at the anticipated time of death in 5 years.</w:t>
      </w:r>
    </w:p>
    <w:p w14:paraId="4560C509" w14:textId="77777777" w:rsidR="004E4EAA" w:rsidRPr="00A8711F" w:rsidRDefault="004E4EAA" w:rsidP="004E4EAA">
      <w:pPr>
        <w:pStyle w:val="ListParagraph"/>
        <w:numPr>
          <w:ilvl w:val="0"/>
          <w:numId w:val="6"/>
        </w:num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8711F">
        <w:rPr>
          <w:rFonts w:ascii="Times New Roman" w:hAnsi="Times New Roman"/>
          <w:spacing w:val="-3"/>
          <w:sz w:val="22"/>
          <w:szCs w:val="22"/>
        </w:rPr>
        <w:t>Assume the market yield of 4% is constant throughout the 5-year period.</w:t>
      </w:r>
    </w:p>
    <w:p w14:paraId="2C73C768" w14:textId="77777777" w:rsidR="004E4EAA" w:rsidRPr="00A8711F" w:rsidRDefault="004E4EAA" w:rsidP="004E4EAA">
      <w:pPr>
        <w:pStyle w:val="ListParagraph"/>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70B5B227" w14:textId="77777777" w:rsidR="004E4EAA" w:rsidRPr="00A8711F" w:rsidRDefault="004E4EAA" w:rsidP="004E4EAA">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r w:rsidRPr="00A8711F">
        <w:rPr>
          <w:rFonts w:ascii="Times New Roman" w:hAnsi="Times New Roman"/>
          <w:spacing w:val="-3"/>
          <w:sz w:val="22"/>
          <w:szCs w:val="22"/>
        </w:rPr>
        <w:t>Company XYZ’s balance sheet for each year, using a simplified net premium calculation for reserves, would look like Figure H.</w:t>
      </w:r>
    </w:p>
    <w:p w14:paraId="0580660D" w14:textId="77777777" w:rsidR="004E4EAA" w:rsidRPr="00A8711F" w:rsidRDefault="004E4EAA" w:rsidP="004E4EAA">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tbl>
      <w:tblPr>
        <w:tblW w:w="9460" w:type="dxa"/>
        <w:tblLook w:val="04A0" w:firstRow="1" w:lastRow="0" w:firstColumn="1" w:lastColumn="0" w:noHBand="0" w:noVBand="1"/>
      </w:tblPr>
      <w:tblGrid>
        <w:gridCol w:w="1585"/>
        <w:gridCol w:w="821"/>
        <w:gridCol w:w="1627"/>
        <w:gridCol w:w="821"/>
        <w:gridCol w:w="2158"/>
        <w:gridCol w:w="1627"/>
        <w:gridCol w:w="821"/>
      </w:tblGrid>
      <w:tr w:rsidR="00EF04A3" w:rsidRPr="00EF04A3" w14:paraId="46A3DE70" w14:textId="77777777" w:rsidTr="00EF04A3">
        <w:trPr>
          <w:trHeight w:val="300"/>
        </w:trPr>
        <w:tc>
          <w:tcPr>
            <w:tcW w:w="9460" w:type="dxa"/>
            <w:gridSpan w:val="7"/>
            <w:tcBorders>
              <w:top w:val="single" w:sz="4" w:space="0" w:color="auto"/>
              <w:left w:val="single" w:sz="4" w:space="0" w:color="auto"/>
              <w:bottom w:val="nil"/>
              <w:right w:val="single" w:sz="4" w:space="0" w:color="000000"/>
            </w:tcBorders>
            <w:shd w:val="clear" w:color="auto" w:fill="auto"/>
            <w:vAlign w:val="center"/>
            <w:hideMark/>
          </w:tcPr>
          <w:p w14:paraId="1D259A79" w14:textId="77777777" w:rsidR="00EF04A3" w:rsidRPr="00EF04A3" w:rsidRDefault="00EF04A3" w:rsidP="00EF04A3">
            <w:pPr>
              <w:rPr>
                <w:rFonts w:ascii="Times New Roman" w:hAnsi="Times New Roman"/>
                <w:color w:val="000000"/>
                <w:sz w:val="22"/>
                <w:szCs w:val="22"/>
              </w:rPr>
            </w:pPr>
            <w:r w:rsidRPr="00EF04A3">
              <w:rPr>
                <w:rFonts w:ascii="Times New Roman" w:hAnsi="Times New Roman"/>
                <w:color w:val="000000"/>
                <w:sz w:val="22"/>
                <w:szCs w:val="22"/>
              </w:rPr>
              <w:t>Figure H</w:t>
            </w:r>
          </w:p>
        </w:tc>
      </w:tr>
      <w:tr w:rsidR="00EF04A3" w:rsidRPr="00EF04A3" w14:paraId="318A0FAD" w14:textId="77777777" w:rsidTr="00EF04A3">
        <w:trPr>
          <w:trHeight w:val="288"/>
        </w:trPr>
        <w:tc>
          <w:tcPr>
            <w:tcW w:w="1627" w:type="dxa"/>
            <w:tcBorders>
              <w:top w:val="single" w:sz="4" w:space="0" w:color="auto"/>
              <w:left w:val="single" w:sz="4" w:space="0" w:color="auto"/>
              <w:bottom w:val="single" w:sz="4" w:space="0" w:color="auto"/>
              <w:right w:val="nil"/>
            </w:tcBorders>
            <w:shd w:val="clear" w:color="auto" w:fill="auto"/>
            <w:vAlign w:val="center"/>
            <w:hideMark/>
          </w:tcPr>
          <w:p w14:paraId="1799374C" w14:textId="77777777" w:rsidR="00EF04A3" w:rsidRPr="00EF04A3" w:rsidRDefault="00EF04A3" w:rsidP="00EF04A3">
            <w:pPr>
              <w:jc w:val="both"/>
              <w:rPr>
                <w:rFonts w:ascii="Times New Roman" w:hAnsi="Times New Roman"/>
                <w:color w:val="000000"/>
                <w:sz w:val="22"/>
                <w:szCs w:val="22"/>
              </w:rPr>
            </w:pPr>
            <w:r w:rsidRPr="00EF04A3">
              <w:rPr>
                <w:rFonts w:ascii="Times New Roman" w:hAnsi="Times New Roman"/>
                <w:color w:val="000000"/>
                <w:spacing w:val="-3"/>
                <w:sz w:val="22"/>
                <w:szCs w:val="22"/>
              </w:rPr>
              <w:t> </w:t>
            </w:r>
          </w:p>
        </w:tc>
        <w:tc>
          <w:tcPr>
            <w:tcW w:w="3241"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BEB1275"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Assets</w:t>
            </w:r>
          </w:p>
        </w:tc>
        <w:tc>
          <w:tcPr>
            <w:tcW w:w="459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4300705"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Liabilities and Surplus</w:t>
            </w:r>
          </w:p>
        </w:tc>
      </w:tr>
      <w:tr w:rsidR="00EF04A3" w:rsidRPr="00EF04A3" w14:paraId="15A63AB1" w14:textId="77777777" w:rsidTr="00EF04A3">
        <w:trPr>
          <w:trHeight w:val="288"/>
        </w:trPr>
        <w:tc>
          <w:tcPr>
            <w:tcW w:w="1627" w:type="dxa"/>
            <w:tcBorders>
              <w:top w:val="nil"/>
              <w:left w:val="single" w:sz="4" w:space="0" w:color="auto"/>
              <w:bottom w:val="nil"/>
              <w:right w:val="nil"/>
            </w:tcBorders>
            <w:shd w:val="clear" w:color="auto" w:fill="auto"/>
            <w:vAlign w:val="center"/>
            <w:hideMark/>
          </w:tcPr>
          <w:p w14:paraId="188836EB"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pacing w:val="-3"/>
                <w:sz w:val="22"/>
                <w:szCs w:val="22"/>
              </w:rPr>
              <w:t>Year</w:t>
            </w:r>
          </w:p>
        </w:tc>
        <w:tc>
          <w:tcPr>
            <w:tcW w:w="807" w:type="dxa"/>
            <w:tcBorders>
              <w:top w:val="nil"/>
              <w:left w:val="single" w:sz="4" w:space="0" w:color="auto"/>
              <w:bottom w:val="nil"/>
              <w:right w:val="nil"/>
            </w:tcBorders>
            <w:shd w:val="clear" w:color="auto" w:fill="auto"/>
            <w:noWrap/>
            <w:vAlign w:val="center"/>
            <w:hideMark/>
          </w:tcPr>
          <w:p w14:paraId="3CAF8B65"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Bonds</w:t>
            </w:r>
          </w:p>
        </w:tc>
        <w:tc>
          <w:tcPr>
            <w:tcW w:w="1627" w:type="dxa"/>
            <w:tcBorders>
              <w:top w:val="nil"/>
              <w:left w:val="nil"/>
              <w:bottom w:val="nil"/>
              <w:right w:val="nil"/>
            </w:tcBorders>
            <w:shd w:val="clear" w:color="auto" w:fill="auto"/>
            <w:vAlign w:val="center"/>
            <w:hideMark/>
          </w:tcPr>
          <w:p w14:paraId="35837A1C"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Equities</w:t>
            </w:r>
          </w:p>
        </w:tc>
        <w:tc>
          <w:tcPr>
            <w:tcW w:w="807" w:type="dxa"/>
            <w:tcBorders>
              <w:top w:val="nil"/>
              <w:left w:val="nil"/>
              <w:bottom w:val="nil"/>
              <w:right w:val="single" w:sz="4" w:space="0" w:color="auto"/>
            </w:tcBorders>
            <w:shd w:val="clear" w:color="auto" w:fill="auto"/>
            <w:noWrap/>
            <w:vAlign w:val="center"/>
            <w:hideMark/>
          </w:tcPr>
          <w:p w14:paraId="0FF0448A"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Total</w:t>
            </w:r>
          </w:p>
        </w:tc>
        <w:tc>
          <w:tcPr>
            <w:tcW w:w="2158" w:type="dxa"/>
            <w:tcBorders>
              <w:top w:val="nil"/>
              <w:left w:val="nil"/>
              <w:bottom w:val="nil"/>
              <w:right w:val="nil"/>
            </w:tcBorders>
            <w:shd w:val="clear" w:color="auto" w:fill="auto"/>
            <w:noWrap/>
            <w:vAlign w:val="center"/>
            <w:hideMark/>
          </w:tcPr>
          <w:p w14:paraId="0F8216BC"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Insurance Liability</w:t>
            </w:r>
          </w:p>
        </w:tc>
        <w:tc>
          <w:tcPr>
            <w:tcW w:w="1627" w:type="dxa"/>
            <w:tcBorders>
              <w:top w:val="nil"/>
              <w:left w:val="nil"/>
              <w:bottom w:val="nil"/>
              <w:right w:val="nil"/>
            </w:tcBorders>
            <w:shd w:val="clear" w:color="auto" w:fill="auto"/>
            <w:vAlign w:val="center"/>
            <w:hideMark/>
          </w:tcPr>
          <w:p w14:paraId="0CAEF168"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Surplus</w:t>
            </w:r>
          </w:p>
        </w:tc>
        <w:tc>
          <w:tcPr>
            <w:tcW w:w="807" w:type="dxa"/>
            <w:tcBorders>
              <w:top w:val="nil"/>
              <w:left w:val="nil"/>
              <w:bottom w:val="nil"/>
              <w:right w:val="single" w:sz="4" w:space="0" w:color="auto"/>
            </w:tcBorders>
            <w:shd w:val="clear" w:color="auto" w:fill="auto"/>
            <w:noWrap/>
            <w:vAlign w:val="center"/>
            <w:hideMark/>
          </w:tcPr>
          <w:p w14:paraId="2E6FE4B8"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Total</w:t>
            </w:r>
          </w:p>
        </w:tc>
      </w:tr>
      <w:tr w:rsidR="00EF04A3" w:rsidRPr="00EF04A3" w14:paraId="3F891E97" w14:textId="77777777" w:rsidTr="00EF04A3">
        <w:trPr>
          <w:trHeight w:val="288"/>
        </w:trPr>
        <w:tc>
          <w:tcPr>
            <w:tcW w:w="1627" w:type="dxa"/>
            <w:tcBorders>
              <w:top w:val="single" w:sz="4" w:space="0" w:color="auto"/>
              <w:left w:val="single" w:sz="4" w:space="0" w:color="auto"/>
              <w:bottom w:val="single" w:sz="4" w:space="0" w:color="auto"/>
              <w:right w:val="nil"/>
            </w:tcBorders>
            <w:shd w:val="clear" w:color="auto" w:fill="auto"/>
            <w:vAlign w:val="center"/>
            <w:hideMark/>
          </w:tcPr>
          <w:p w14:paraId="25265598"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pacing w:val="-3"/>
                <w:sz w:val="22"/>
                <w:szCs w:val="22"/>
              </w:rPr>
              <w:t>1</w:t>
            </w:r>
          </w:p>
        </w:tc>
        <w:tc>
          <w:tcPr>
            <w:tcW w:w="807" w:type="dxa"/>
            <w:tcBorders>
              <w:top w:val="single" w:sz="4" w:space="0" w:color="auto"/>
              <w:left w:val="single" w:sz="4" w:space="0" w:color="auto"/>
              <w:bottom w:val="single" w:sz="4" w:space="0" w:color="auto"/>
              <w:right w:val="nil"/>
            </w:tcBorders>
            <w:shd w:val="clear" w:color="auto" w:fill="auto"/>
            <w:noWrap/>
            <w:vAlign w:val="center"/>
            <w:hideMark/>
          </w:tcPr>
          <w:p w14:paraId="4AAE7206"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18.47</w:t>
            </w:r>
          </w:p>
        </w:tc>
        <w:tc>
          <w:tcPr>
            <w:tcW w:w="1627" w:type="dxa"/>
            <w:tcBorders>
              <w:top w:val="single" w:sz="4" w:space="0" w:color="auto"/>
              <w:left w:val="nil"/>
              <w:bottom w:val="single" w:sz="4" w:space="0" w:color="auto"/>
              <w:right w:val="nil"/>
            </w:tcBorders>
            <w:shd w:val="clear" w:color="auto" w:fill="auto"/>
            <w:noWrap/>
            <w:vAlign w:val="center"/>
            <w:hideMark/>
          </w:tcPr>
          <w:p w14:paraId="215926CD"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w:t>
            </w:r>
          </w:p>
        </w:tc>
        <w:tc>
          <w:tcPr>
            <w:tcW w:w="807" w:type="dxa"/>
            <w:tcBorders>
              <w:top w:val="single" w:sz="4" w:space="0" w:color="auto"/>
              <w:left w:val="nil"/>
              <w:bottom w:val="single" w:sz="4" w:space="0" w:color="auto"/>
              <w:right w:val="single" w:sz="4" w:space="0" w:color="auto"/>
            </w:tcBorders>
            <w:shd w:val="clear" w:color="auto" w:fill="auto"/>
            <w:noWrap/>
            <w:vAlign w:val="center"/>
            <w:hideMark/>
          </w:tcPr>
          <w:p w14:paraId="7432390C"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28.47</w:t>
            </w:r>
          </w:p>
        </w:tc>
        <w:tc>
          <w:tcPr>
            <w:tcW w:w="2158" w:type="dxa"/>
            <w:tcBorders>
              <w:top w:val="single" w:sz="4" w:space="0" w:color="auto"/>
              <w:left w:val="nil"/>
              <w:bottom w:val="single" w:sz="4" w:space="0" w:color="auto"/>
              <w:right w:val="nil"/>
            </w:tcBorders>
            <w:shd w:val="clear" w:color="auto" w:fill="auto"/>
            <w:noWrap/>
            <w:vAlign w:val="center"/>
            <w:hideMark/>
          </w:tcPr>
          <w:p w14:paraId="45C37280"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18.47</w:t>
            </w:r>
          </w:p>
        </w:tc>
        <w:tc>
          <w:tcPr>
            <w:tcW w:w="1627" w:type="dxa"/>
            <w:tcBorders>
              <w:top w:val="single" w:sz="4" w:space="0" w:color="auto"/>
              <w:left w:val="nil"/>
              <w:bottom w:val="single" w:sz="4" w:space="0" w:color="auto"/>
              <w:right w:val="nil"/>
            </w:tcBorders>
            <w:shd w:val="clear" w:color="auto" w:fill="auto"/>
            <w:noWrap/>
            <w:vAlign w:val="center"/>
            <w:hideMark/>
          </w:tcPr>
          <w:p w14:paraId="760C7D20"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w:t>
            </w:r>
          </w:p>
        </w:tc>
        <w:tc>
          <w:tcPr>
            <w:tcW w:w="807" w:type="dxa"/>
            <w:tcBorders>
              <w:top w:val="single" w:sz="4" w:space="0" w:color="auto"/>
              <w:left w:val="nil"/>
              <w:bottom w:val="single" w:sz="4" w:space="0" w:color="auto"/>
              <w:right w:val="single" w:sz="4" w:space="0" w:color="auto"/>
            </w:tcBorders>
            <w:shd w:val="clear" w:color="auto" w:fill="auto"/>
            <w:noWrap/>
            <w:vAlign w:val="center"/>
            <w:hideMark/>
          </w:tcPr>
          <w:p w14:paraId="582932A7"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28.47</w:t>
            </w:r>
          </w:p>
        </w:tc>
      </w:tr>
      <w:tr w:rsidR="00EF04A3" w:rsidRPr="00EF04A3" w14:paraId="6A8AA1FF" w14:textId="77777777" w:rsidTr="00EF04A3">
        <w:trPr>
          <w:trHeight w:val="300"/>
        </w:trPr>
        <w:tc>
          <w:tcPr>
            <w:tcW w:w="1627" w:type="dxa"/>
            <w:tcBorders>
              <w:top w:val="nil"/>
              <w:left w:val="single" w:sz="4" w:space="0" w:color="auto"/>
              <w:bottom w:val="single" w:sz="4" w:space="0" w:color="auto"/>
              <w:right w:val="nil"/>
            </w:tcBorders>
            <w:shd w:val="clear" w:color="auto" w:fill="auto"/>
            <w:vAlign w:val="center"/>
            <w:hideMark/>
          </w:tcPr>
          <w:p w14:paraId="0A674C3E"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pacing w:val="-3"/>
                <w:sz w:val="22"/>
                <w:szCs w:val="22"/>
              </w:rPr>
              <w:t>2</w:t>
            </w:r>
          </w:p>
        </w:tc>
        <w:tc>
          <w:tcPr>
            <w:tcW w:w="807" w:type="dxa"/>
            <w:tcBorders>
              <w:top w:val="nil"/>
              <w:left w:val="single" w:sz="4" w:space="0" w:color="auto"/>
              <w:bottom w:val="single" w:sz="4" w:space="0" w:color="auto"/>
              <w:right w:val="nil"/>
            </w:tcBorders>
            <w:shd w:val="clear" w:color="auto" w:fill="auto"/>
            <w:noWrap/>
            <w:vAlign w:val="center"/>
            <w:hideMark/>
          </w:tcPr>
          <w:p w14:paraId="37E4A1A5"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37.67</w:t>
            </w:r>
          </w:p>
        </w:tc>
        <w:tc>
          <w:tcPr>
            <w:tcW w:w="1627" w:type="dxa"/>
            <w:tcBorders>
              <w:top w:val="nil"/>
              <w:left w:val="nil"/>
              <w:bottom w:val="single" w:sz="4" w:space="0" w:color="auto"/>
              <w:right w:val="nil"/>
            </w:tcBorders>
            <w:shd w:val="clear" w:color="auto" w:fill="auto"/>
            <w:noWrap/>
            <w:vAlign w:val="center"/>
            <w:hideMark/>
          </w:tcPr>
          <w:p w14:paraId="5919F67B"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w:t>
            </w:r>
          </w:p>
        </w:tc>
        <w:tc>
          <w:tcPr>
            <w:tcW w:w="807" w:type="dxa"/>
            <w:tcBorders>
              <w:top w:val="nil"/>
              <w:left w:val="nil"/>
              <w:bottom w:val="single" w:sz="4" w:space="0" w:color="auto"/>
              <w:right w:val="single" w:sz="4" w:space="0" w:color="auto"/>
            </w:tcBorders>
            <w:shd w:val="clear" w:color="auto" w:fill="auto"/>
            <w:noWrap/>
            <w:vAlign w:val="center"/>
            <w:hideMark/>
          </w:tcPr>
          <w:p w14:paraId="5411A7B8"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47.67</w:t>
            </w:r>
          </w:p>
        </w:tc>
        <w:tc>
          <w:tcPr>
            <w:tcW w:w="2158" w:type="dxa"/>
            <w:tcBorders>
              <w:top w:val="nil"/>
              <w:left w:val="nil"/>
              <w:bottom w:val="single" w:sz="4" w:space="0" w:color="auto"/>
              <w:right w:val="nil"/>
            </w:tcBorders>
            <w:shd w:val="clear" w:color="auto" w:fill="auto"/>
            <w:noWrap/>
            <w:vAlign w:val="center"/>
            <w:hideMark/>
          </w:tcPr>
          <w:p w14:paraId="445C3248"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37.67</w:t>
            </w:r>
          </w:p>
        </w:tc>
        <w:tc>
          <w:tcPr>
            <w:tcW w:w="1627" w:type="dxa"/>
            <w:tcBorders>
              <w:top w:val="nil"/>
              <w:left w:val="nil"/>
              <w:bottom w:val="single" w:sz="4" w:space="0" w:color="auto"/>
              <w:right w:val="nil"/>
            </w:tcBorders>
            <w:shd w:val="clear" w:color="auto" w:fill="auto"/>
            <w:noWrap/>
            <w:vAlign w:val="center"/>
            <w:hideMark/>
          </w:tcPr>
          <w:p w14:paraId="2001D856"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w:t>
            </w:r>
          </w:p>
        </w:tc>
        <w:tc>
          <w:tcPr>
            <w:tcW w:w="807" w:type="dxa"/>
            <w:tcBorders>
              <w:top w:val="nil"/>
              <w:left w:val="nil"/>
              <w:bottom w:val="single" w:sz="4" w:space="0" w:color="auto"/>
              <w:right w:val="single" w:sz="4" w:space="0" w:color="auto"/>
            </w:tcBorders>
            <w:shd w:val="clear" w:color="auto" w:fill="auto"/>
            <w:noWrap/>
            <w:vAlign w:val="center"/>
            <w:hideMark/>
          </w:tcPr>
          <w:p w14:paraId="01D52F77"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47.67</w:t>
            </w:r>
          </w:p>
        </w:tc>
      </w:tr>
      <w:tr w:rsidR="00EF04A3" w:rsidRPr="00EF04A3" w14:paraId="07E23FB2" w14:textId="77777777" w:rsidTr="00EF04A3">
        <w:trPr>
          <w:trHeight w:val="288"/>
        </w:trPr>
        <w:tc>
          <w:tcPr>
            <w:tcW w:w="1627" w:type="dxa"/>
            <w:tcBorders>
              <w:top w:val="nil"/>
              <w:left w:val="single" w:sz="4" w:space="0" w:color="auto"/>
              <w:bottom w:val="single" w:sz="4" w:space="0" w:color="auto"/>
              <w:right w:val="nil"/>
            </w:tcBorders>
            <w:shd w:val="clear" w:color="auto" w:fill="auto"/>
            <w:vAlign w:val="center"/>
            <w:hideMark/>
          </w:tcPr>
          <w:p w14:paraId="6375B590"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3</w:t>
            </w:r>
          </w:p>
        </w:tc>
        <w:tc>
          <w:tcPr>
            <w:tcW w:w="807" w:type="dxa"/>
            <w:tcBorders>
              <w:top w:val="nil"/>
              <w:left w:val="single" w:sz="4" w:space="0" w:color="auto"/>
              <w:bottom w:val="single" w:sz="4" w:space="0" w:color="auto"/>
              <w:right w:val="nil"/>
            </w:tcBorders>
            <w:shd w:val="clear" w:color="auto" w:fill="auto"/>
            <w:noWrap/>
            <w:vAlign w:val="center"/>
            <w:hideMark/>
          </w:tcPr>
          <w:p w14:paraId="35C344CF"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57.64</w:t>
            </w:r>
          </w:p>
        </w:tc>
        <w:tc>
          <w:tcPr>
            <w:tcW w:w="1627" w:type="dxa"/>
            <w:tcBorders>
              <w:top w:val="nil"/>
              <w:left w:val="nil"/>
              <w:bottom w:val="single" w:sz="4" w:space="0" w:color="auto"/>
              <w:right w:val="nil"/>
            </w:tcBorders>
            <w:shd w:val="clear" w:color="auto" w:fill="auto"/>
            <w:noWrap/>
            <w:vAlign w:val="center"/>
            <w:hideMark/>
          </w:tcPr>
          <w:p w14:paraId="1F337778"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w:t>
            </w:r>
          </w:p>
        </w:tc>
        <w:tc>
          <w:tcPr>
            <w:tcW w:w="807" w:type="dxa"/>
            <w:tcBorders>
              <w:top w:val="nil"/>
              <w:left w:val="nil"/>
              <w:bottom w:val="single" w:sz="4" w:space="0" w:color="auto"/>
              <w:right w:val="single" w:sz="4" w:space="0" w:color="auto"/>
            </w:tcBorders>
            <w:shd w:val="clear" w:color="auto" w:fill="auto"/>
            <w:noWrap/>
            <w:vAlign w:val="center"/>
            <w:hideMark/>
          </w:tcPr>
          <w:p w14:paraId="147AE7E6"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67.64</w:t>
            </w:r>
          </w:p>
        </w:tc>
        <w:tc>
          <w:tcPr>
            <w:tcW w:w="2158" w:type="dxa"/>
            <w:tcBorders>
              <w:top w:val="nil"/>
              <w:left w:val="nil"/>
              <w:bottom w:val="single" w:sz="4" w:space="0" w:color="auto"/>
              <w:right w:val="nil"/>
            </w:tcBorders>
            <w:shd w:val="clear" w:color="auto" w:fill="auto"/>
            <w:noWrap/>
            <w:vAlign w:val="center"/>
            <w:hideMark/>
          </w:tcPr>
          <w:p w14:paraId="4A1F29F6"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57.64</w:t>
            </w:r>
          </w:p>
        </w:tc>
        <w:tc>
          <w:tcPr>
            <w:tcW w:w="1627" w:type="dxa"/>
            <w:tcBorders>
              <w:top w:val="nil"/>
              <w:left w:val="nil"/>
              <w:bottom w:val="single" w:sz="4" w:space="0" w:color="auto"/>
              <w:right w:val="nil"/>
            </w:tcBorders>
            <w:shd w:val="clear" w:color="auto" w:fill="auto"/>
            <w:noWrap/>
            <w:vAlign w:val="center"/>
            <w:hideMark/>
          </w:tcPr>
          <w:p w14:paraId="2899A02E"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w:t>
            </w:r>
          </w:p>
        </w:tc>
        <w:tc>
          <w:tcPr>
            <w:tcW w:w="807" w:type="dxa"/>
            <w:tcBorders>
              <w:top w:val="nil"/>
              <w:left w:val="nil"/>
              <w:bottom w:val="single" w:sz="4" w:space="0" w:color="auto"/>
              <w:right w:val="single" w:sz="4" w:space="0" w:color="auto"/>
            </w:tcBorders>
            <w:shd w:val="clear" w:color="auto" w:fill="auto"/>
            <w:noWrap/>
            <w:vAlign w:val="center"/>
            <w:hideMark/>
          </w:tcPr>
          <w:p w14:paraId="28A2C813"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67.64</w:t>
            </w:r>
          </w:p>
        </w:tc>
      </w:tr>
      <w:tr w:rsidR="00EF04A3" w:rsidRPr="00EF04A3" w14:paraId="130418E7" w14:textId="77777777" w:rsidTr="00EF04A3">
        <w:trPr>
          <w:trHeight w:val="288"/>
        </w:trPr>
        <w:tc>
          <w:tcPr>
            <w:tcW w:w="1627" w:type="dxa"/>
            <w:tcBorders>
              <w:top w:val="nil"/>
              <w:left w:val="single" w:sz="4" w:space="0" w:color="auto"/>
              <w:bottom w:val="single" w:sz="4" w:space="0" w:color="auto"/>
              <w:right w:val="nil"/>
            </w:tcBorders>
            <w:shd w:val="clear" w:color="auto" w:fill="auto"/>
            <w:vAlign w:val="center"/>
            <w:hideMark/>
          </w:tcPr>
          <w:p w14:paraId="0DB24B63"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4</w:t>
            </w:r>
          </w:p>
        </w:tc>
        <w:tc>
          <w:tcPr>
            <w:tcW w:w="807" w:type="dxa"/>
            <w:tcBorders>
              <w:top w:val="nil"/>
              <w:left w:val="single" w:sz="4" w:space="0" w:color="auto"/>
              <w:bottom w:val="single" w:sz="4" w:space="0" w:color="auto"/>
              <w:right w:val="nil"/>
            </w:tcBorders>
            <w:shd w:val="clear" w:color="auto" w:fill="auto"/>
            <w:noWrap/>
            <w:vAlign w:val="center"/>
            <w:hideMark/>
          </w:tcPr>
          <w:p w14:paraId="0C02BF87"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78.40</w:t>
            </w:r>
          </w:p>
        </w:tc>
        <w:tc>
          <w:tcPr>
            <w:tcW w:w="1627" w:type="dxa"/>
            <w:tcBorders>
              <w:top w:val="nil"/>
              <w:left w:val="nil"/>
              <w:bottom w:val="single" w:sz="4" w:space="0" w:color="auto"/>
              <w:right w:val="nil"/>
            </w:tcBorders>
            <w:shd w:val="clear" w:color="auto" w:fill="auto"/>
            <w:noWrap/>
            <w:vAlign w:val="center"/>
            <w:hideMark/>
          </w:tcPr>
          <w:p w14:paraId="607A581C"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w:t>
            </w:r>
          </w:p>
        </w:tc>
        <w:tc>
          <w:tcPr>
            <w:tcW w:w="807" w:type="dxa"/>
            <w:tcBorders>
              <w:top w:val="nil"/>
              <w:left w:val="nil"/>
              <w:bottom w:val="single" w:sz="4" w:space="0" w:color="auto"/>
              <w:right w:val="single" w:sz="4" w:space="0" w:color="auto"/>
            </w:tcBorders>
            <w:shd w:val="clear" w:color="auto" w:fill="auto"/>
            <w:noWrap/>
            <w:vAlign w:val="center"/>
            <w:hideMark/>
          </w:tcPr>
          <w:p w14:paraId="5093219B"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88.40</w:t>
            </w:r>
          </w:p>
        </w:tc>
        <w:tc>
          <w:tcPr>
            <w:tcW w:w="2158" w:type="dxa"/>
            <w:tcBorders>
              <w:top w:val="nil"/>
              <w:left w:val="nil"/>
              <w:bottom w:val="single" w:sz="4" w:space="0" w:color="auto"/>
              <w:right w:val="nil"/>
            </w:tcBorders>
            <w:shd w:val="clear" w:color="auto" w:fill="auto"/>
            <w:noWrap/>
            <w:vAlign w:val="center"/>
            <w:hideMark/>
          </w:tcPr>
          <w:p w14:paraId="377D25AE"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78.40</w:t>
            </w:r>
          </w:p>
        </w:tc>
        <w:tc>
          <w:tcPr>
            <w:tcW w:w="1627" w:type="dxa"/>
            <w:tcBorders>
              <w:top w:val="nil"/>
              <w:left w:val="nil"/>
              <w:bottom w:val="single" w:sz="4" w:space="0" w:color="auto"/>
              <w:right w:val="nil"/>
            </w:tcBorders>
            <w:shd w:val="clear" w:color="auto" w:fill="auto"/>
            <w:noWrap/>
            <w:vAlign w:val="center"/>
            <w:hideMark/>
          </w:tcPr>
          <w:p w14:paraId="571B4D0A"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w:t>
            </w:r>
          </w:p>
        </w:tc>
        <w:tc>
          <w:tcPr>
            <w:tcW w:w="807" w:type="dxa"/>
            <w:tcBorders>
              <w:top w:val="nil"/>
              <w:left w:val="nil"/>
              <w:bottom w:val="single" w:sz="4" w:space="0" w:color="auto"/>
              <w:right w:val="single" w:sz="4" w:space="0" w:color="auto"/>
            </w:tcBorders>
            <w:shd w:val="clear" w:color="auto" w:fill="auto"/>
            <w:noWrap/>
            <w:vAlign w:val="center"/>
            <w:hideMark/>
          </w:tcPr>
          <w:p w14:paraId="4D6767C0"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88.40</w:t>
            </w:r>
          </w:p>
        </w:tc>
      </w:tr>
      <w:tr w:rsidR="00EF04A3" w:rsidRPr="00EF04A3" w14:paraId="5F9C929C" w14:textId="77777777" w:rsidTr="00EF04A3">
        <w:trPr>
          <w:trHeight w:val="288"/>
        </w:trPr>
        <w:tc>
          <w:tcPr>
            <w:tcW w:w="1627" w:type="dxa"/>
            <w:tcBorders>
              <w:top w:val="nil"/>
              <w:left w:val="single" w:sz="4" w:space="0" w:color="auto"/>
              <w:bottom w:val="single" w:sz="4" w:space="0" w:color="auto"/>
              <w:right w:val="nil"/>
            </w:tcBorders>
            <w:shd w:val="clear" w:color="auto" w:fill="auto"/>
            <w:vAlign w:val="center"/>
            <w:hideMark/>
          </w:tcPr>
          <w:p w14:paraId="1F3C1BD4"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5</w:t>
            </w:r>
          </w:p>
        </w:tc>
        <w:tc>
          <w:tcPr>
            <w:tcW w:w="807" w:type="dxa"/>
            <w:tcBorders>
              <w:top w:val="nil"/>
              <w:left w:val="single" w:sz="4" w:space="0" w:color="auto"/>
              <w:bottom w:val="single" w:sz="4" w:space="0" w:color="auto"/>
              <w:right w:val="nil"/>
            </w:tcBorders>
            <w:shd w:val="clear" w:color="auto" w:fill="auto"/>
            <w:noWrap/>
            <w:vAlign w:val="center"/>
            <w:hideMark/>
          </w:tcPr>
          <w:p w14:paraId="6004598C"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100.00</w:t>
            </w:r>
          </w:p>
        </w:tc>
        <w:tc>
          <w:tcPr>
            <w:tcW w:w="1627" w:type="dxa"/>
            <w:tcBorders>
              <w:top w:val="nil"/>
              <w:left w:val="nil"/>
              <w:bottom w:val="single" w:sz="4" w:space="0" w:color="auto"/>
              <w:right w:val="nil"/>
            </w:tcBorders>
            <w:shd w:val="clear" w:color="auto" w:fill="auto"/>
            <w:noWrap/>
            <w:vAlign w:val="center"/>
            <w:hideMark/>
          </w:tcPr>
          <w:p w14:paraId="21EC3F48"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w:t>
            </w:r>
          </w:p>
        </w:tc>
        <w:tc>
          <w:tcPr>
            <w:tcW w:w="807" w:type="dxa"/>
            <w:tcBorders>
              <w:top w:val="nil"/>
              <w:left w:val="nil"/>
              <w:bottom w:val="single" w:sz="4" w:space="0" w:color="auto"/>
              <w:right w:val="single" w:sz="4" w:space="0" w:color="auto"/>
            </w:tcBorders>
            <w:shd w:val="clear" w:color="auto" w:fill="auto"/>
            <w:noWrap/>
            <w:vAlign w:val="center"/>
            <w:hideMark/>
          </w:tcPr>
          <w:p w14:paraId="7F446473"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110.00</w:t>
            </w:r>
          </w:p>
        </w:tc>
        <w:tc>
          <w:tcPr>
            <w:tcW w:w="2158" w:type="dxa"/>
            <w:tcBorders>
              <w:top w:val="nil"/>
              <w:left w:val="nil"/>
              <w:bottom w:val="single" w:sz="4" w:space="0" w:color="auto"/>
              <w:right w:val="nil"/>
            </w:tcBorders>
            <w:shd w:val="clear" w:color="auto" w:fill="auto"/>
            <w:noWrap/>
            <w:vAlign w:val="center"/>
            <w:hideMark/>
          </w:tcPr>
          <w:p w14:paraId="7DCE91ED"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100.00</w:t>
            </w:r>
          </w:p>
        </w:tc>
        <w:tc>
          <w:tcPr>
            <w:tcW w:w="1627" w:type="dxa"/>
            <w:tcBorders>
              <w:top w:val="nil"/>
              <w:left w:val="nil"/>
              <w:bottom w:val="single" w:sz="4" w:space="0" w:color="auto"/>
              <w:right w:val="nil"/>
            </w:tcBorders>
            <w:shd w:val="clear" w:color="auto" w:fill="auto"/>
            <w:noWrap/>
            <w:vAlign w:val="center"/>
            <w:hideMark/>
          </w:tcPr>
          <w:p w14:paraId="78C11E91"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10.00</w:t>
            </w:r>
          </w:p>
        </w:tc>
        <w:tc>
          <w:tcPr>
            <w:tcW w:w="807" w:type="dxa"/>
            <w:tcBorders>
              <w:top w:val="nil"/>
              <w:left w:val="nil"/>
              <w:bottom w:val="single" w:sz="4" w:space="0" w:color="auto"/>
              <w:right w:val="single" w:sz="4" w:space="0" w:color="auto"/>
            </w:tcBorders>
            <w:shd w:val="clear" w:color="auto" w:fill="auto"/>
            <w:noWrap/>
            <w:vAlign w:val="center"/>
            <w:hideMark/>
          </w:tcPr>
          <w:p w14:paraId="23BE890E" w14:textId="77777777" w:rsidR="00EF04A3" w:rsidRPr="00EF04A3" w:rsidRDefault="00EF04A3" w:rsidP="00EF04A3">
            <w:pPr>
              <w:jc w:val="center"/>
              <w:rPr>
                <w:rFonts w:ascii="Times New Roman" w:hAnsi="Times New Roman"/>
                <w:color w:val="000000"/>
                <w:sz w:val="22"/>
                <w:szCs w:val="22"/>
              </w:rPr>
            </w:pPr>
            <w:r w:rsidRPr="00EF04A3">
              <w:rPr>
                <w:rFonts w:ascii="Times New Roman" w:hAnsi="Times New Roman"/>
                <w:color w:val="000000"/>
                <w:sz w:val="22"/>
                <w:szCs w:val="22"/>
              </w:rPr>
              <w:t>110.00</w:t>
            </w:r>
          </w:p>
        </w:tc>
      </w:tr>
    </w:tbl>
    <w:p w14:paraId="126B6C40" w14:textId="77777777" w:rsidR="004E4EAA" w:rsidRPr="00A8711F" w:rsidRDefault="004E4EAA" w:rsidP="004E4EAA">
      <w:pPr>
        <w:tabs>
          <w:tab w:val="left" w:pos="0"/>
          <w:tab w:val="left" w:pos="450"/>
          <w:tab w:val="left" w:pos="810"/>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rPr>
          <w:rFonts w:ascii="Times New Roman" w:hAnsi="Times New Roman"/>
          <w:spacing w:val="-3"/>
          <w:sz w:val="22"/>
          <w:szCs w:val="22"/>
        </w:rPr>
      </w:pPr>
    </w:p>
    <w:p w14:paraId="5A1ACE72" w14:textId="1DB0D748" w:rsidR="004E4EAA" w:rsidRPr="00A8711F" w:rsidRDefault="004E4EAA" w:rsidP="004E4EAA">
      <w:pPr>
        <w:jc w:val="both"/>
        <w:rPr>
          <w:rFonts w:ascii="Times New Roman" w:hAnsi="Times New Roman"/>
          <w:sz w:val="22"/>
          <w:szCs w:val="22"/>
        </w:rPr>
      </w:pPr>
      <w:r w:rsidRPr="00A8711F">
        <w:rPr>
          <w:rFonts w:ascii="Times New Roman" w:hAnsi="Times New Roman"/>
          <w:spacing w:val="-3"/>
          <w:sz w:val="22"/>
          <w:szCs w:val="22"/>
        </w:rPr>
        <w:t>Company XYZ can pay all claims on the policy and the balance sheet surplus appropriately reflects surplus at the end of each reporting period.</w:t>
      </w:r>
      <w:r w:rsidR="00F8526B">
        <w:rPr>
          <w:rFonts w:ascii="Times New Roman" w:hAnsi="Times New Roman"/>
          <w:spacing w:val="-3"/>
          <w:sz w:val="22"/>
          <w:szCs w:val="22"/>
        </w:rPr>
        <w:t xml:space="preserve"> </w:t>
      </w:r>
      <w:r w:rsidRPr="00A8711F">
        <w:rPr>
          <w:rFonts w:ascii="Times New Roman" w:hAnsi="Times New Roman"/>
          <w:sz w:val="22"/>
          <w:szCs w:val="22"/>
        </w:rPr>
        <w:t>In the real world with this more dynamic pool of liabilities, other changes could occur, such as one or multiple of:</w:t>
      </w:r>
    </w:p>
    <w:p w14:paraId="516EE459" w14:textId="77777777" w:rsidR="004E4EAA" w:rsidRPr="00A8711F" w:rsidRDefault="004E4EAA" w:rsidP="004E4EAA">
      <w:pPr>
        <w:pStyle w:val="ListParagraph"/>
        <w:numPr>
          <w:ilvl w:val="0"/>
          <w:numId w:val="7"/>
        </w:numPr>
        <w:jc w:val="both"/>
        <w:rPr>
          <w:rFonts w:ascii="Times New Roman" w:hAnsi="Times New Roman"/>
          <w:sz w:val="22"/>
          <w:szCs w:val="22"/>
        </w:rPr>
      </w:pPr>
      <w:r w:rsidRPr="00A8711F">
        <w:rPr>
          <w:rFonts w:ascii="Times New Roman" w:hAnsi="Times New Roman"/>
          <w:sz w:val="22"/>
          <w:szCs w:val="22"/>
        </w:rPr>
        <w:t>Interest rates could decline, and coupon and premium payments would not be able to be invested at 4%.</w:t>
      </w:r>
    </w:p>
    <w:p w14:paraId="263B0A9E" w14:textId="77777777" w:rsidR="004E4EAA" w:rsidRPr="00A8711F" w:rsidRDefault="004E4EAA" w:rsidP="004E4EAA">
      <w:pPr>
        <w:pStyle w:val="ListParagraph"/>
        <w:numPr>
          <w:ilvl w:val="0"/>
          <w:numId w:val="7"/>
        </w:numPr>
        <w:jc w:val="both"/>
        <w:rPr>
          <w:rFonts w:ascii="Times New Roman" w:hAnsi="Times New Roman"/>
          <w:sz w:val="22"/>
          <w:szCs w:val="22"/>
        </w:rPr>
      </w:pPr>
      <w:r w:rsidRPr="00A8711F">
        <w:rPr>
          <w:rFonts w:ascii="Times New Roman" w:hAnsi="Times New Roman"/>
          <w:sz w:val="22"/>
          <w:szCs w:val="22"/>
        </w:rPr>
        <w:t>Death benefits could be paid at a point in time greater than the invested bond maturity and if interest rates decline, the bond would not be able to be re-invested at 4%.</w:t>
      </w:r>
    </w:p>
    <w:p w14:paraId="42131289" w14:textId="5559EF32" w:rsidR="004E4EAA" w:rsidRPr="00A8711F" w:rsidRDefault="004E4EAA" w:rsidP="004E4EAA">
      <w:pPr>
        <w:pStyle w:val="ListParagraph"/>
        <w:numPr>
          <w:ilvl w:val="0"/>
          <w:numId w:val="7"/>
        </w:numPr>
        <w:jc w:val="both"/>
        <w:rPr>
          <w:rFonts w:ascii="Times New Roman" w:hAnsi="Times New Roman"/>
          <w:sz w:val="22"/>
          <w:szCs w:val="22"/>
        </w:rPr>
      </w:pPr>
      <w:r w:rsidRPr="00A8711F">
        <w:rPr>
          <w:rFonts w:ascii="Times New Roman" w:hAnsi="Times New Roman"/>
          <w:sz w:val="22"/>
          <w:szCs w:val="22"/>
        </w:rPr>
        <w:t xml:space="preserve">Policy surrenders could occur, including due to changes in market interest rates, causing the claims patterns to change from </w:t>
      </w:r>
      <w:r w:rsidR="00E210B1" w:rsidRPr="00A8711F">
        <w:rPr>
          <w:rFonts w:ascii="Times New Roman" w:hAnsi="Times New Roman"/>
          <w:sz w:val="22"/>
          <w:szCs w:val="22"/>
        </w:rPr>
        <w:t>expectations.</w:t>
      </w:r>
    </w:p>
    <w:p w14:paraId="70BAE204" w14:textId="77777777" w:rsidR="004E4EAA" w:rsidRPr="00A8711F" w:rsidRDefault="004E4EAA" w:rsidP="004E4EAA">
      <w:pPr>
        <w:rPr>
          <w:rFonts w:ascii="Times New Roman" w:hAnsi="Times New Roman"/>
          <w:sz w:val="22"/>
          <w:szCs w:val="22"/>
        </w:rPr>
      </w:pPr>
    </w:p>
    <w:p w14:paraId="4C7DA1E6" w14:textId="77777777" w:rsidR="004E4EAA" w:rsidRPr="00A8711F" w:rsidRDefault="004E4EAA" w:rsidP="004E4EAA">
      <w:pPr>
        <w:jc w:val="both"/>
        <w:rPr>
          <w:rFonts w:ascii="Times New Roman" w:hAnsi="Times New Roman"/>
          <w:sz w:val="22"/>
          <w:szCs w:val="22"/>
        </w:rPr>
      </w:pPr>
      <w:r w:rsidRPr="00A8711F">
        <w:rPr>
          <w:rFonts w:ascii="Times New Roman" w:hAnsi="Times New Roman"/>
          <w:sz w:val="22"/>
          <w:szCs w:val="22"/>
        </w:rPr>
        <w:t>Amidst this real-world uncertainty, Company XYZ could consider any of the following risk mitigating activities, which inherently depend upon its mix of insurance liabilities:</w:t>
      </w:r>
    </w:p>
    <w:p w14:paraId="0AB8C482" w14:textId="33C0B64C" w:rsidR="004E4EAA" w:rsidRPr="00A8711F" w:rsidRDefault="004E4EAA" w:rsidP="004E4EAA">
      <w:pPr>
        <w:pStyle w:val="ListParagraph"/>
        <w:numPr>
          <w:ilvl w:val="0"/>
          <w:numId w:val="8"/>
        </w:numPr>
        <w:jc w:val="both"/>
        <w:rPr>
          <w:rFonts w:ascii="Times New Roman" w:hAnsi="Times New Roman"/>
          <w:sz w:val="22"/>
          <w:szCs w:val="22"/>
        </w:rPr>
      </w:pPr>
      <w:r w:rsidRPr="00A8711F">
        <w:rPr>
          <w:rFonts w:ascii="Times New Roman" w:hAnsi="Times New Roman"/>
          <w:sz w:val="22"/>
          <w:szCs w:val="22"/>
        </w:rPr>
        <w:t>Accept the risk of future asset and liability cash flow fluctuations, which could result in an inability pay claims in certain situations.</w:t>
      </w:r>
      <w:r w:rsidR="00B24ECF">
        <w:rPr>
          <w:rFonts w:ascii="Times New Roman" w:hAnsi="Times New Roman"/>
          <w:sz w:val="22"/>
          <w:szCs w:val="22"/>
        </w:rPr>
        <w:t xml:space="preserve"> </w:t>
      </w:r>
      <w:r w:rsidRPr="00A8711F">
        <w:rPr>
          <w:rFonts w:ascii="Times New Roman" w:hAnsi="Times New Roman"/>
          <w:sz w:val="22"/>
          <w:szCs w:val="22"/>
        </w:rPr>
        <w:t>For instance, if interest rates declined, the coupon payments, premium payments, and/or maturities would not be able to be re-invested in fixed income investments that have sufficient yield to pay claims as expected.</w:t>
      </w:r>
    </w:p>
    <w:p w14:paraId="6D575B6F" w14:textId="77777777" w:rsidR="004E4EAA" w:rsidRPr="00A8711F" w:rsidRDefault="004E4EAA" w:rsidP="004E4EAA">
      <w:pPr>
        <w:pStyle w:val="ListParagraph"/>
        <w:numPr>
          <w:ilvl w:val="0"/>
          <w:numId w:val="8"/>
        </w:numPr>
        <w:jc w:val="both"/>
        <w:rPr>
          <w:rFonts w:ascii="Times New Roman" w:hAnsi="Times New Roman"/>
          <w:sz w:val="22"/>
          <w:szCs w:val="22"/>
        </w:rPr>
      </w:pPr>
      <w:r w:rsidRPr="00A8711F">
        <w:rPr>
          <w:rFonts w:ascii="Times New Roman" w:hAnsi="Times New Roman"/>
          <w:sz w:val="22"/>
          <w:szCs w:val="22"/>
        </w:rPr>
        <w:t>Charge higher premiums at inception to account for the reinvestment risk and duration risk associated with the insurance liabilities.</w:t>
      </w:r>
    </w:p>
    <w:p w14:paraId="4B5B919B" w14:textId="3B6B41B2" w:rsidR="004E4EAA" w:rsidRPr="00A8711F" w:rsidRDefault="004E4EAA" w:rsidP="004E4EAA">
      <w:pPr>
        <w:pStyle w:val="ListParagraph"/>
        <w:numPr>
          <w:ilvl w:val="0"/>
          <w:numId w:val="8"/>
        </w:numPr>
        <w:jc w:val="both"/>
        <w:rPr>
          <w:rFonts w:ascii="Times New Roman" w:hAnsi="Times New Roman"/>
          <w:sz w:val="22"/>
          <w:szCs w:val="22"/>
        </w:rPr>
      </w:pPr>
      <w:r w:rsidRPr="00A8711F">
        <w:rPr>
          <w:rFonts w:ascii="Times New Roman" w:hAnsi="Times New Roman"/>
          <w:sz w:val="22"/>
          <w:szCs w:val="22"/>
        </w:rPr>
        <w:lastRenderedPageBreak/>
        <w:t>Manage the investment portfolio to a prudent liability duration or any number of appropriate and prudent asset liability management (ALM) strategies.</w:t>
      </w:r>
      <w:r w:rsidR="00B24ECF">
        <w:rPr>
          <w:rFonts w:ascii="Times New Roman" w:hAnsi="Times New Roman"/>
          <w:sz w:val="22"/>
          <w:szCs w:val="22"/>
        </w:rPr>
        <w:t xml:space="preserve"> </w:t>
      </w:r>
    </w:p>
    <w:p w14:paraId="12EDD0E3" w14:textId="77777777" w:rsidR="004E4EAA" w:rsidRPr="00A8711F" w:rsidRDefault="004E4EAA" w:rsidP="004E4EAA">
      <w:pPr>
        <w:pStyle w:val="ListParagraph"/>
        <w:numPr>
          <w:ilvl w:val="0"/>
          <w:numId w:val="8"/>
        </w:numPr>
        <w:jc w:val="both"/>
        <w:rPr>
          <w:rFonts w:ascii="Times New Roman" w:hAnsi="Times New Roman"/>
          <w:sz w:val="22"/>
          <w:szCs w:val="22"/>
        </w:rPr>
      </w:pPr>
      <w:r w:rsidRPr="00A8711F">
        <w:rPr>
          <w:rFonts w:ascii="Times New Roman" w:hAnsi="Times New Roman"/>
          <w:sz w:val="22"/>
          <w:szCs w:val="22"/>
        </w:rPr>
        <w:t>Prudently hedge with derivatives within the ALM strategy. Such derivative usage strategies are used where purchases are not viable or where it is more efficient to utilize derivatives.</w:t>
      </w:r>
    </w:p>
    <w:p w14:paraId="48734551" w14:textId="77777777" w:rsidR="004E4EAA" w:rsidRPr="00A8711F" w:rsidRDefault="004E4EAA" w:rsidP="004E4EAA">
      <w:pPr>
        <w:jc w:val="both"/>
        <w:rPr>
          <w:rFonts w:ascii="Times New Roman" w:hAnsi="Times New Roman"/>
          <w:sz w:val="22"/>
          <w:szCs w:val="22"/>
        </w:rPr>
      </w:pPr>
    </w:p>
    <w:p w14:paraId="73A4D78C" w14:textId="6BB6F621" w:rsidR="006E3F5E" w:rsidRDefault="004E4EAA" w:rsidP="004E4EAA">
      <w:pPr>
        <w:jc w:val="both"/>
        <w:rPr>
          <w:rFonts w:ascii="Times New Roman" w:hAnsi="Times New Roman"/>
          <w:sz w:val="22"/>
          <w:szCs w:val="22"/>
        </w:rPr>
      </w:pPr>
      <w:r w:rsidRPr="00A8711F">
        <w:rPr>
          <w:rFonts w:ascii="Times New Roman" w:hAnsi="Times New Roman"/>
          <w:sz w:val="22"/>
          <w:szCs w:val="22"/>
        </w:rPr>
        <w:t>If the derivative strategy is applied, the reinvestment risk could be hedged to lock in a 4% yield.</w:t>
      </w:r>
      <w:r w:rsidR="00B24ECF">
        <w:rPr>
          <w:rFonts w:ascii="Times New Roman" w:hAnsi="Times New Roman"/>
          <w:sz w:val="22"/>
          <w:szCs w:val="22"/>
        </w:rPr>
        <w:t xml:space="preserve"> </w:t>
      </w:r>
      <w:r w:rsidRPr="00A8711F">
        <w:rPr>
          <w:rFonts w:ascii="Times New Roman" w:hAnsi="Times New Roman"/>
          <w:sz w:val="22"/>
          <w:szCs w:val="22"/>
        </w:rPr>
        <w:t>When interest rates fluctuate, any gain or loss on the derivative offsets the lower or higher actual yield that</w:t>
      </w:r>
      <w:r w:rsidR="006E3F5E">
        <w:rPr>
          <w:rFonts w:ascii="Times New Roman" w:hAnsi="Times New Roman"/>
          <w:sz w:val="22"/>
          <w:szCs w:val="22"/>
        </w:rPr>
        <w:t xml:space="preserve"> is received</w:t>
      </w:r>
      <w:r w:rsidRPr="00A8711F">
        <w:rPr>
          <w:rFonts w:ascii="Times New Roman" w:hAnsi="Times New Roman"/>
          <w:sz w:val="22"/>
          <w:szCs w:val="22"/>
        </w:rPr>
        <w:t xml:space="preserve"> on the reinvestments. </w:t>
      </w:r>
    </w:p>
    <w:p w14:paraId="0F82BAD5" w14:textId="77777777" w:rsidR="006E3F5E" w:rsidRDefault="006E3F5E" w:rsidP="004E4EAA">
      <w:pPr>
        <w:jc w:val="both"/>
        <w:rPr>
          <w:rFonts w:ascii="Times New Roman" w:hAnsi="Times New Roman"/>
          <w:sz w:val="22"/>
          <w:szCs w:val="22"/>
        </w:rPr>
      </w:pPr>
    </w:p>
    <w:p w14:paraId="09371EC1" w14:textId="10D67CE9" w:rsidR="004E4EAA" w:rsidRPr="00A8711F" w:rsidRDefault="004E4EAA" w:rsidP="004E4EAA">
      <w:pPr>
        <w:jc w:val="both"/>
        <w:rPr>
          <w:rFonts w:ascii="Times New Roman" w:hAnsi="Times New Roman"/>
          <w:sz w:val="22"/>
          <w:szCs w:val="22"/>
        </w:rPr>
      </w:pPr>
      <w:r w:rsidRPr="00A8711F">
        <w:rPr>
          <w:rFonts w:ascii="Times New Roman" w:hAnsi="Times New Roman"/>
          <w:sz w:val="22"/>
          <w:szCs w:val="22"/>
        </w:rPr>
        <w:t>In Example 3, if interest rates plunged to 0% on day 2, Company XYZ would not be able to support the liabilities because future premiums and coupons would not be able to be reinvested at 4%.</w:t>
      </w:r>
      <w:r w:rsidR="00B24ECF">
        <w:rPr>
          <w:rFonts w:ascii="Times New Roman" w:hAnsi="Times New Roman"/>
          <w:sz w:val="22"/>
          <w:szCs w:val="22"/>
        </w:rPr>
        <w:t xml:space="preserve"> </w:t>
      </w:r>
      <w:r w:rsidRPr="00A8711F">
        <w:rPr>
          <w:rFonts w:ascii="Times New Roman" w:hAnsi="Times New Roman"/>
          <w:sz w:val="22"/>
          <w:szCs w:val="22"/>
        </w:rPr>
        <w:t>If Company XYZ had hedged reinvestment risk, they would have a gain on derivatives equal to the economic loss of not being able to invest at 4%.</w:t>
      </w:r>
      <w:r w:rsidR="00B24ECF">
        <w:rPr>
          <w:rFonts w:ascii="Times New Roman" w:hAnsi="Times New Roman"/>
          <w:sz w:val="22"/>
          <w:szCs w:val="22"/>
        </w:rPr>
        <w:t xml:space="preserve"> </w:t>
      </w:r>
      <w:r w:rsidRPr="00A8711F">
        <w:rPr>
          <w:rFonts w:ascii="Times New Roman" w:hAnsi="Times New Roman"/>
          <w:sz w:val="22"/>
          <w:szCs w:val="22"/>
        </w:rPr>
        <w:t>Similarly, if interest rates doubled to 8%, Company XYZ would have a loss on derivatives equal to the economic gain of now being able to invest at the much higher interest rate of 8%.</w:t>
      </w:r>
      <w:r w:rsidR="00B24ECF">
        <w:rPr>
          <w:rFonts w:ascii="Times New Roman" w:hAnsi="Times New Roman"/>
          <w:sz w:val="22"/>
          <w:szCs w:val="22"/>
        </w:rPr>
        <w:t xml:space="preserve"> </w:t>
      </w:r>
      <w:r w:rsidRPr="00A8711F">
        <w:rPr>
          <w:rFonts w:ascii="Times New Roman" w:hAnsi="Times New Roman"/>
          <w:sz w:val="22"/>
          <w:szCs w:val="22"/>
        </w:rPr>
        <w:t>In both cases, Company XYZ has hedged reinvestment risk and ha</w:t>
      </w:r>
      <w:r w:rsidR="006D629F">
        <w:rPr>
          <w:rFonts w:ascii="Times New Roman" w:hAnsi="Times New Roman"/>
          <w:sz w:val="22"/>
          <w:szCs w:val="22"/>
        </w:rPr>
        <w:t>s</w:t>
      </w:r>
      <w:r w:rsidRPr="00A8711F">
        <w:rPr>
          <w:rFonts w:ascii="Times New Roman" w:hAnsi="Times New Roman"/>
          <w:sz w:val="22"/>
          <w:szCs w:val="22"/>
        </w:rPr>
        <w:t xml:space="preserve"> not change</w:t>
      </w:r>
      <w:r w:rsidR="006F428C">
        <w:rPr>
          <w:rFonts w:ascii="Times New Roman" w:hAnsi="Times New Roman"/>
          <w:sz w:val="22"/>
          <w:szCs w:val="22"/>
        </w:rPr>
        <w:t>d</w:t>
      </w:r>
      <w:r w:rsidRPr="00A8711F">
        <w:rPr>
          <w:rFonts w:ascii="Times New Roman" w:hAnsi="Times New Roman"/>
          <w:sz w:val="22"/>
          <w:szCs w:val="22"/>
        </w:rPr>
        <w:t xml:space="preserve"> the solvency picture in Example 3.</w:t>
      </w:r>
      <w:r w:rsidR="00B24ECF">
        <w:rPr>
          <w:rFonts w:ascii="Times New Roman" w:hAnsi="Times New Roman"/>
          <w:sz w:val="22"/>
          <w:szCs w:val="22"/>
        </w:rPr>
        <w:t xml:space="preserve"> </w:t>
      </w:r>
    </w:p>
    <w:p w14:paraId="22A37BED" w14:textId="77777777" w:rsidR="004E4EAA" w:rsidRPr="00A8711F" w:rsidRDefault="004E4EAA" w:rsidP="004E4EAA">
      <w:pPr>
        <w:rPr>
          <w:rFonts w:ascii="Times New Roman" w:hAnsi="Times New Roman"/>
          <w:sz w:val="22"/>
          <w:szCs w:val="22"/>
        </w:rPr>
      </w:pPr>
    </w:p>
    <w:p w14:paraId="74D5F435" w14:textId="43A0A2F9" w:rsidR="004E4EAA" w:rsidRPr="0060244F" w:rsidRDefault="004E4EAA" w:rsidP="00057502">
      <w:pPr>
        <w:jc w:val="both"/>
        <w:rPr>
          <w:rFonts w:ascii="Times New Roman" w:hAnsi="Times New Roman"/>
          <w:sz w:val="22"/>
          <w:szCs w:val="22"/>
        </w:rPr>
      </w:pPr>
      <w:r w:rsidRPr="00A8711F">
        <w:rPr>
          <w:rFonts w:ascii="Times New Roman" w:hAnsi="Times New Roman"/>
          <w:sz w:val="22"/>
          <w:szCs w:val="22"/>
        </w:rPr>
        <w:t>In summary, IMR is appropriate for all types of fixed income investments, including derivatives</w:t>
      </w:r>
      <w:r w:rsidR="008231C4" w:rsidRPr="008231C4">
        <w:rPr>
          <w:rFonts w:ascii="Times New Roman" w:hAnsi="Times New Roman"/>
          <w:sz w:val="22"/>
          <w:szCs w:val="22"/>
        </w:rPr>
        <w:t xml:space="preserve"> </w:t>
      </w:r>
      <w:r w:rsidR="008231C4" w:rsidRPr="00824E16">
        <w:rPr>
          <w:rFonts w:ascii="Times New Roman" w:hAnsi="Times New Roman"/>
          <w:sz w:val="22"/>
          <w:szCs w:val="22"/>
        </w:rPr>
        <w:t>which alter the interest rate characteristics of assets/liabilities</w:t>
      </w:r>
      <w:r w:rsidRPr="00A8711F">
        <w:rPr>
          <w:rFonts w:ascii="Times New Roman" w:hAnsi="Times New Roman"/>
          <w:sz w:val="22"/>
          <w:szCs w:val="22"/>
        </w:rPr>
        <w:t>, for all realized capital gains and losses which result from changes in the overall level of interest rates as they occur.</w:t>
      </w:r>
      <w:r w:rsidR="00B24ECF">
        <w:rPr>
          <w:rFonts w:ascii="Times New Roman" w:hAnsi="Times New Roman"/>
          <w:sz w:val="22"/>
          <w:szCs w:val="22"/>
        </w:rPr>
        <w:t xml:space="preserve"> </w:t>
      </w:r>
    </w:p>
    <w:p w14:paraId="4F068F89" w14:textId="77777777" w:rsidR="004E4EAA" w:rsidRPr="0060244F" w:rsidRDefault="004E4EAA" w:rsidP="004E4EAA">
      <w:pPr>
        <w:rPr>
          <w:rFonts w:ascii="Times New Roman" w:hAnsi="Times New Roman"/>
          <w:sz w:val="22"/>
          <w:szCs w:val="22"/>
        </w:rPr>
      </w:pPr>
    </w:p>
    <w:p w14:paraId="49241091" w14:textId="77777777" w:rsidR="00846A8A" w:rsidRDefault="00846A8A" w:rsidP="00F9054B">
      <w:pPr>
        <w:jc w:val="both"/>
        <w:rPr>
          <w:rFonts w:ascii="Times New Roman" w:hAnsi="Times New Roman"/>
          <w:szCs w:val="24"/>
        </w:rPr>
      </w:pPr>
    </w:p>
    <w:p w14:paraId="0EFFDB46" w14:textId="2639F35B" w:rsidR="000D3D95" w:rsidRPr="00FA79D4" w:rsidRDefault="000D3D95" w:rsidP="000D3D95">
      <w:pPr>
        <w:widowControl w:val="0"/>
        <w:spacing w:after="60"/>
        <w:jc w:val="both"/>
        <w:rPr>
          <w:rFonts w:asciiTheme="minorHAnsi" w:hAnsiTheme="minorHAnsi" w:cstheme="minorHAnsi"/>
          <w:b/>
          <w:bCs/>
          <w:sz w:val="22"/>
          <w:szCs w:val="22"/>
        </w:rPr>
      </w:pPr>
      <w:r w:rsidRPr="00FA79D4">
        <w:rPr>
          <w:rFonts w:asciiTheme="minorHAnsi" w:hAnsiTheme="minorHAnsi" w:cstheme="minorHAnsi"/>
          <w:sz w:val="16"/>
          <w:szCs w:val="16"/>
        </w:rPr>
        <w:fldChar w:fldCharType="begin"/>
      </w:r>
      <w:r w:rsidRPr="00FA79D4">
        <w:rPr>
          <w:rFonts w:asciiTheme="minorHAnsi" w:hAnsiTheme="minorHAnsi" w:cstheme="minorHAnsi"/>
          <w:sz w:val="16"/>
          <w:szCs w:val="16"/>
        </w:rPr>
        <w:instrText xml:space="preserve"> FILENAME  \p  \* MERGEFORMAT </w:instrText>
      </w:r>
      <w:r w:rsidRPr="00FA79D4">
        <w:rPr>
          <w:rFonts w:asciiTheme="minorHAnsi" w:hAnsiTheme="minorHAnsi" w:cstheme="minorHAnsi"/>
          <w:sz w:val="16"/>
          <w:szCs w:val="16"/>
        </w:rPr>
        <w:fldChar w:fldCharType="separate"/>
      </w:r>
      <w:r>
        <w:rPr>
          <w:rFonts w:asciiTheme="minorHAnsi" w:hAnsiTheme="minorHAnsi" w:cstheme="minorHAnsi"/>
          <w:noProof/>
          <w:sz w:val="16"/>
          <w:szCs w:val="16"/>
        </w:rPr>
        <w:t>https://naiconline.sharepoint.com/teams/FRSStatutoryAccounting/National Meetings/A. National Meeting Materials/2025/08-11-25 Summer National Meeting/Hearing/09 - 25-03 - ACLI IMR Definition.docx</w:t>
      </w:r>
      <w:r w:rsidRPr="00FA79D4">
        <w:rPr>
          <w:rFonts w:asciiTheme="minorHAnsi" w:hAnsiTheme="minorHAnsi" w:cstheme="minorHAnsi"/>
          <w:sz w:val="16"/>
          <w:szCs w:val="16"/>
        </w:rPr>
        <w:fldChar w:fldCharType="end"/>
      </w:r>
    </w:p>
    <w:p w14:paraId="4B557A4D" w14:textId="77777777" w:rsidR="000E50B0" w:rsidRPr="00DF3BC4" w:rsidRDefault="000E50B0" w:rsidP="00F9054B">
      <w:pPr>
        <w:jc w:val="both"/>
        <w:rPr>
          <w:rFonts w:ascii="Times New Roman" w:hAnsi="Times New Roman"/>
          <w:szCs w:val="24"/>
        </w:rPr>
      </w:pPr>
    </w:p>
    <w:sectPr w:rsidR="000E50B0" w:rsidRPr="00DF3BC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4D1A6" w14:textId="77777777" w:rsidR="001309E1" w:rsidRDefault="001309E1" w:rsidP="00276963">
      <w:r>
        <w:separator/>
      </w:r>
    </w:p>
  </w:endnote>
  <w:endnote w:type="continuationSeparator" w:id="0">
    <w:p w14:paraId="09773F1F" w14:textId="77777777" w:rsidR="001309E1" w:rsidRDefault="001309E1" w:rsidP="00276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mond">
    <w:altName w:val="Univers Condense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9F988" w14:textId="77777777" w:rsidR="00A10B1E" w:rsidRDefault="00A10B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4039511"/>
      <w:docPartObj>
        <w:docPartGallery w:val="Page Numbers (Bottom of Page)"/>
        <w:docPartUnique/>
      </w:docPartObj>
    </w:sdtPr>
    <w:sdtEndPr>
      <w:rPr>
        <w:noProof/>
      </w:rPr>
    </w:sdtEndPr>
    <w:sdtContent>
      <w:p w14:paraId="0A17AF20" w14:textId="3B3E7D16" w:rsidR="00EA2706" w:rsidRDefault="00EA2706">
        <w:pPr>
          <w:pStyle w:val="Footer"/>
          <w:jc w:val="right"/>
        </w:pPr>
        <w:r w:rsidRPr="00A4186D">
          <w:rPr>
            <w:rFonts w:ascii="Times New Roman" w:hAnsi="Times New Roman"/>
            <w:sz w:val="20"/>
          </w:rPr>
          <w:fldChar w:fldCharType="begin"/>
        </w:r>
        <w:r w:rsidRPr="00A4186D">
          <w:rPr>
            <w:rFonts w:ascii="Times New Roman" w:hAnsi="Times New Roman"/>
            <w:sz w:val="20"/>
          </w:rPr>
          <w:instrText xml:space="preserve"> PAGE   \* MERGEFORMAT </w:instrText>
        </w:r>
        <w:r w:rsidRPr="00A4186D">
          <w:rPr>
            <w:rFonts w:ascii="Times New Roman" w:hAnsi="Times New Roman"/>
            <w:sz w:val="20"/>
          </w:rPr>
          <w:fldChar w:fldCharType="separate"/>
        </w:r>
        <w:r w:rsidRPr="00A4186D">
          <w:rPr>
            <w:rFonts w:ascii="Times New Roman" w:hAnsi="Times New Roman"/>
            <w:noProof/>
            <w:sz w:val="20"/>
          </w:rPr>
          <w:t>2</w:t>
        </w:r>
        <w:r w:rsidRPr="00A4186D">
          <w:rPr>
            <w:rFonts w:ascii="Times New Roman" w:hAnsi="Times New Roman"/>
            <w:noProof/>
            <w:sz w:val="20"/>
          </w:rPr>
          <w:fldChar w:fldCharType="end"/>
        </w:r>
      </w:p>
    </w:sdtContent>
  </w:sdt>
  <w:p w14:paraId="15955C55" w14:textId="77777777" w:rsidR="00276963" w:rsidRDefault="002769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8A018" w14:textId="77777777" w:rsidR="00A10B1E" w:rsidRDefault="00A10B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F341E" w14:textId="77777777" w:rsidR="001309E1" w:rsidRDefault="001309E1" w:rsidP="00276963">
      <w:r>
        <w:separator/>
      </w:r>
    </w:p>
  </w:footnote>
  <w:footnote w:type="continuationSeparator" w:id="0">
    <w:p w14:paraId="564FDB95" w14:textId="77777777" w:rsidR="001309E1" w:rsidRDefault="001309E1" w:rsidP="00276963">
      <w:r>
        <w:continuationSeparator/>
      </w:r>
    </w:p>
  </w:footnote>
  <w:footnote w:id="1">
    <w:p w14:paraId="2F8823F6" w14:textId="32EB9825" w:rsidR="00F97231" w:rsidRPr="00F97231" w:rsidRDefault="00F97231">
      <w:pPr>
        <w:pStyle w:val="FootnoteText"/>
        <w:rPr>
          <w:rFonts w:ascii="Times New Roman" w:hAnsi="Times New Roman"/>
          <w:sz w:val="22"/>
          <w:szCs w:val="22"/>
        </w:rPr>
      </w:pPr>
      <w:r w:rsidRPr="00A4186D">
        <w:rPr>
          <w:rStyle w:val="FootnoteReference"/>
          <w:rFonts w:ascii="Times New Roman" w:hAnsi="Times New Roman"/>
          <w:sz w:val="18"/>
          <w:szCs w:val="18"/>
        </w:rPr>
        <w:footnoteRef/>
      </w:r>
      <w:r w:rsidRPr="00A4186D">
        <w:rPr>
          <w:rFonts w:ascii="Times New Roman" w:hAnsi="Times New Roman"/>
          <w:sz w:val="18"/>
          <w:szCs w:val="18"/>
        </w:rPr>
        <w:t xml:space="preserve"> “Asset Valuation Reserves and Interest Maintenance Reserves, Blue Book, December 2002”.  Report to the NAIC Financial Condition Committee.</w:t>
      </w:r>
    </w:p>
  </w:footnote>
  <w:footnote w:id="2">
    <w:p w14:paraId="3FCB6697" w14:textId="77777777" w:rsidR="00B24ECF" w:rsidRDefault="00B24ECF" w:rsidP="00B24ECF">
      <w:pPr>
        <w:pStyle w:val="FootnoteText"/>
      </w:pPr>
      <w:r w:rsidRPr="00A4186D">
        <w:rPr>
          <w:rStyle w:val="FootnoteReference"/>
          <w:sz w:val="16"/>
          <w:szCs w:val="16"/>
        </w:rPr>
        <w:footnoteRef/>
      </w:r>
      <w:r w:rsidRPr="00A4186D">
        <w:rPr>
          <w:sz w:val="16"/>
          <w:szCs w:val="16"/>
        </w:rPr>
        <w:t xml:space="preserve"> </w:t>
      </w:r>
      <w:r w:rsidRPr="00A4186D">
        <w:rPr>
          <w:rFonts w:ascii="Times New Roman" w:hAnsi="Times New Roman"/>
          <w:sz w:val="18"/>
          <w:szCs w:val="18"/>
        </w:rPr>
        <w:t>“Asset Valuation Reserves and Interest Maintenance Reserves, Blue Book, December 2002”.  Report to the NAIC Financial Condition Committee.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3F76D" w14:textId="77777777" w:rsidR="00A10B1E" w:rsidRDefault="00A10B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6ED6F" w14:textId="7360AC0B" w:rsidR="00141EC1" w:rsidRPr="00141EC1" w:rsidRDefault="00141EC1" w:rsidP="00141EC1">
    <w:pPr>
      <w:pStyle w:val="Header"/>
      <w:jc w:val="right"/>
      <w:rPr>
        <w:rFonts w:asciiTheme="minorHAnsi" w:hAnsiTheme="minorHAnsi" w:cstheme="minorHAnsi"/>
        <w:b/>
        <w:bCs/>
        <w:sz w:val="20"/>
      </w:rPr>
    </w:pPr>
    <w:r w:rsidRPr="00141EC1">
      <w:rPr>
        <w:rFonts w:asciiTheme="minorHAnsi" w:hAnsiTheme="minorHAnsi" w:cstheme="minorHAnsi"/>
        <w:b/>
        <w:bCs/>
        <w:sz w:val="20"/>
      </w:rPr>
      <w:t>Attachment 9</w:t>
    </w:r>
  </w:p>
  <w:p w14:paraId="34F8BD20" w14:textId="276ACA7D" w:rsidR="00276963" w:rsidRPr="00141EC1" w:rsidRDefault="00141EC1" w:rsidP="00141EC1">
    <w:pPr>
      <w:pStyle w:val="Header"/>
      <w:jc w:val="right"/>
      <w:rPr>
        <w:rFonts w:asciiTheme="minorHAnsi" w:hAnsiTheme="minorHAnsi" w:cstheme="minorHAnsi"/>
        <w:sz w:val="20"/>
      </w:rPr>
    </w:pPr>
    <w:r>
      <w:rPr>
        <w:rFonts w:asciiTheme="minorHAnsi" w:hAnsiTheme="minorHAnsi" w:cstheme="minorHAnsi"/>
        <w:sz w:val="20"/>
      </w:rPr>
      <w:t>Ref #</w:t>
    </w:r>
    <w:r w:rsidRPr="00141EC1">
      <w:rPr>
        <w:rFonts w:asciiTheme="minorHAnsi" w:hAnsiTheme="minorHAnsi" w:cstheme="minorHAnsi"/>
        <w:sz w:val="20"/>
      </w:rPr>
      <w:t>2025-03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C1FE0" w14:textId="77777777" w:rsidR="00A10B1E" w:rsidRDefault="00A10B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025E9"/>
    <w:multiLevelType w:val="hybridMultilevel"/>
    <w:tmpl w:val="D9B80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FB78B4"/>
    <w:multiLevelType w:val="hybridMultilevel"/>
    <w:tmpl w:val="BCD01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98157D"/>
    <w:multiLevelType w:val="hybridMultilevel"/>
    <w:tmpl w:val="2B222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0A1C58"/>
    <w:multiLevelType w:val="multilevel"/>
    <w:tmpl w:val="8C4A5B5A"/>
    <w:lvl w:ilvl="0">
      <w:start w:val="1"/>
      <w:numFmt w:val="upp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 w15:restartNumberingAfterBreak="0">
    <w:nsid w:val="313B4F36"/>
    <w:multiLevelType w:val="hybridMultilevel"/>
    <w:tmpl w:val="F39C51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F15305"/>
    <w:multiLevelType w:val="hybridMultilevel"/>
    <w:tmpl w:val="6992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247B94"/>
    <w:multiLevelType w:val="hybridMultilevel"/>
    <w:tmpl w:val="08502C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B6317C"/>
    <w:multiLevelType w:val="hybridMultilevel"/>
    <w:tmpl w:val="4FC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C02F05"/>
    <w:multiLevelType w:val="hybridMultilevel"/>
    <w:tmpl w:val="2E7CD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8658263">
    <w:abstractNumId w:val="1"/>
  </w:num>
  <w:num w:numId="2" w16cid:durableId="1756512671">
    <w:abstractNumId w:val="2"/>
  </w:num>
  <w:num w:numId="3" w16cid:durableId="1540969834">
    <w:abstractNumId w:val="0"/>
  </w:num>
  <w:num w:numId="4" w16cid:durableId="1194613428">
    <w:abstractNumId w:val="6"/>
  </w:num>
  <w:num w:numId="5" w16cid:durableId="772286227">
    <w:abstractNumId w:val="3"/>
  </w:num>
  <w:num w:numId="6" w16cid:durableId="1384788116">
    <w:abstractNumId w:val="8"/>
  </w:num>
  <w:num w:numId="7" w16cid:durableId="36709276">
    <w:abstractNumId w:val="5"/>
  </w:num>
  <w:num w:numId="8" w16cid:durableId="1972978794">
    <w:abstractNumId w:val="7"/>
  </w:num>
  <w:num w:numId="9" w16cid:durableId="4552952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BF3"/>
    <w:rsid w:val="00001F9D"/>
    <w:rsid w:val="00002543"/>
    <w:rsid w:val="00004270"/>
    <w:rsid w:val="0001347A"/>
    <w:rsid w:val="00014317"/>
    <w:rsid w:val="00014B46"/>
    <w:rsid w:val="0001643F"/>
    <w:rsid w:val="00023C99"/>
    <w:rsid w:val="000337B1"/>
    <w:rsid w:val="000400CC"/>
    <w:rsid w:val="00041EFA"/>
    <w:rsid w:val="00044299"/>
    <w:rsid w:val="00051049"/>
    <w:rsid w:val="0005446D"/>
    <w:rsid w:val="00057502"/>
    <w:rsid w:val="00062CF1"/>
    <w:rsid w:val="000652B3"/>
    <w:rsid w:val="00071630"/>
    <w:rsid w:val="00072666"/>
    <w:rsid w:val="00086B57"/>
    <w:rsid w:val="00087DD1"/>
    <w:rsid w:val="000A5EDA"/>
    <w:rsid w:val="000A6217"/>
    <w:rsid w:val="000B4CDF"/>
    <w:rsid w:val="000C073A"/>
    <w:rsid w:val="000C1F1E"/>
    <w:rsid w:val="000C29F8"/>
    <w:rsid w:val="000D3D95"/>
    <w:rsid w:val="000E095B"/>
    <w:rsid w:val="000E299B"/>
    <w:rsid w:val="000E50B0"/>
    <w:rsid w:val="000E6C46"/>
    <w:rsid w:val="000F59CC"/>
    <w:rsid w:val="0010135F"/>
    <w:rsid w:val="00110265"/>
    <w:rsid w:val="00116F2B"/>
    <w:rsid w:val="00127A13"/>
    <w:rsid w:val="001309E1"/>
    <w:rsid w:val="0013254E"/>
    <w:rsid w:val="00141EC1"/>
    <w:rsid w:val="00152550"/>
    <w:rsid w:val="00153D22"/>
    <w:rsid w:val="00157E62"/>
    <w:rsid w:val="00160A12"/>
    <w:rsid w:val="00161988"/>
    <w:rsid w:val="001634D1"/>
    <w:rsid w:val="0016554F"/>
    <w:rsid w:val="00170C39"/>
    <w:rsid w:val="00182A54"/>
    <w:rsid w:val="00183960"/>
    <w:rsid w:val="00185DBB"/>
    <w:rsid w:val="001A2B36"/>
    <w:rsid w:val="001A3310"/>
    <w:rsid w:val="001A737C"/>
    <w:rsid w:val="001B3033"/>
    <w:rsid w:val="001B6629"/>
    <w:rsid w:val="001D1617"/>
    <w:rsid w:val="001D23B7"/>
    <w:rsid w:val="001D32ED"/>
    <w:rsid w:val="001D6180"/>
    <w:rsid w:val="001D6728"/>
    <w:rsid w:val="001D6C49"/>
    <w:rsid w:val="001E5932"/>
    <w:rsid w:val="001E5C2A"/>
    <w:rsid w:val="001F222D"/>
    <w:rsid w:val="001F39DC"/>
    <w:rsid w:val="001F45E7"/>
    <w:rsid w:val="00200BC5"/>
    <w:rsid w:val="002037AA"/>
    <w:rsid w:val="002045EE"/>
    <w:rsid w:val="00220281"/>
    <w:rsid w:val="00220C63"/>
    <w:rsid w:val="0022428B"/>
    <w:rsid w:val="00232CD7"/>
    <w:rsid w:val="00235079"/>
    <w:rsid w:val="00236247"/>
    <w:rsid w:val="00240061"/>
    <w:rsid w:val="00244022"/>
    <w:rsid w:val="00245BD1"/>
    <w:rsid w:val="0025234B"/>
    <w:rsid w:val="00252745"/>
    <w:rsid w:val="00252C75"/>
    <w:rsid w:val="002535C0"/>
    <w:rsid w:val="00271FB3"/>
    <w:rsid w:val="00273102"/>
    <w:rsid w:val="00276963"/>
    <w:rsid w:val="0028495C"/>
    <w:rsid w:val="00286A26"/>
    <w:rsid w:val="00293CCD"/>
    <w:rsid w:val="00296497"/>
    <w:rsid w:val="00296F51"/>
    <w:rsid w:val="002A4725"/>
    <w:rsid w:val="002A6E34"/>
    <w:rsid w:val="002A7519"/>
    <w:rsid w:val="002B0584"/>
    <w:rsid w:val="002B09D7"/>
    <w:rsid w:val="002B5902"/>
    <w:rsid w:val="002C4DF4"/>
    <w:rsid w:val="002D47B6"/>
    <w:rsid w:val="002D6B86"/>
    <w:rsid w:val="002E4302"/>
    <w:rsid w:val="002F04C0"/>
    <w:rsid w:val="00301CF7"/>
    <w:rsid w:val="00302BA3"/>
    <w:rsid w:val="00315530"/>
    <w:rsid w:val="00315FE1"/>
    <w:rsid w:val="0032621E"/>
    <w:rsid w:val="003325FA"/>
    <w:rsid w:val="00335B42"/>
    <w:rsid w:val="00340AFF"/>
    <w:rsid w:val="00344198"/>
    <w:rsid w:val="00344348"/>
    <w:rsid w:val="00346145"/>
    <w:rsid w:val="00355950"/>
    <w:rsid w:val="00356610"/>
    <w:rsid w:val="00357181"/>
    <w:rsid w:val="00367CF2"/>
    <w:rsid w:val="003718F3"/>
    <w:rsid w:val="003739CA"/>
    <w:rsid w:val="003803A7"/>
    <w:rsid w:val="00381F64"/>
    <w:rsid w:val="0038759C"/>
    <w:rsid w:val="003879F6"/>
    <w:rsid w:val="003A00F5"/>
    <w:rsid w:val="003A0321"/>
    <w:rsid w:val="003A1395"/>
    <w:rsid w:val="003A1F6B"/>
    <w:rsid w:val="003A5953"/>
    <w:rsid w:val="003E121A"/>
    <w:rsid w:val="003E46E9"/>
    <w:rsid w:val="003E4E21"/>
    <w:rsid w:val="00401352"/>
    <w:rsid w:val="004016B1"/>
    <w:rsid w:val="00406C04"/>
    <w:rsid w:val="00406FDF"/>
    <w:rsid w:val="004079B7"/>
    <w:rsid w:val="004107A3"/>
    <w:rsid w:val="00411B39"/>
    <w:rsid w:val="004129BB"/>
    <w:rsid w:val="00413183"/>
    <w:rsid w:val="00414879"/>
    <w:rsid w:val="00414BE8"/>
    <w:rsid w:val="00416E8F"/>
    <w:rsid w:val="00422139"/>
    <w:rsid w:val="00423C43"/>
    <w:rsid w:val="004249AE"/>
    <w:rsid w:val="0043017F"/>
    <w:rsid w:val="00433309"/>
    <w:rsid w:val="00442328"/>
    <w:rsid w:val="0044346E"/>
    <w:rsid w:val="004614B7"/>
    <w:rsid w:val="00470051"/>
    <w:rsid w:val="0047031A"/>
    <w:rsid w:val="00470D37"/>
    <w:rsid w:val="00474C5D"/>
    <w:rsid w:val="00474FB3"/>
    <w:rsid w:val="00491905"/>
    <w:rsid w:val="004A1E23"/>
    <w:rsid w:val="004A2550"/>
    <w:rsid w:val="004A624E"/>
    <w:rsid w:val="004B7B71"/>
    <w:rsid w:val="004C0037"/>
    <w:rsid w:val="004C1F12"/>
    <w:rsid w:val="004C2387"/>
    <w:rsid w:val="004D4813"/>
    <w:rsid w:val="004E4EAA"/>
    <w:rsid w:val="004E5F81"/>
    <w:rsid w:val="00501339"/>
    <w:rsid w:val="00501F54"/>
    <w:rsid w:val="00503226"/>
    <w:rsid w:val="0050375D"/>
    <w:rsid w:val="005066A5"/>
    <w:rsid w:val="00512E93"/>
    <w:rsid w:val="00520514"/>
    <w:rsid w:val="0052431B"/>
    <w:rsid w:val="005247DF"/>
    <w:rsid w:val="00525D75"/>
    <w:rsid w:val="00530363"/>
    <w:rsid w:val="005332D8"/>
    <w:rsid w:val="00542173"/>
    <w:rsid w:val="00543941"/>
    <w:rsid w:val="00560B36"/>
    <w:rsid w:val="00563F54"/>
    <w:rsid w:val="00566E85"/>
    <w:rsid w:val="00584551"/>
    <w:rsid w:val="00586760"/>
    <w:rsid w:val="00586DD3"/>
    <w:rsid w:val="00591CCF"/>
    <w:rsid w:val="005A1823"/>
    <w:rsid w:val="005B3507"/>
    <w:rsid w:val="005C01A9"/>
    <w:rsid w:val="005C226B"/>
    <w:rsid w:val="005C2FA2"/>
    <w:rsid w:val="005C4319"/>
    <w:rsid w:val="005C7BE2"/>
    <w:rsid w:val="005D0D4B"/>
    <w:rsid w:val="005D439E"/>
    <w:rsid w:val="005D45DC"/>
    <w:rsid w:val="005E1CB9"/>
    <w:rsid w:val="005F5976"/>
    <w:rsid w:val="005F63D5"/>
    <w:rsid w:val="0060601C"/>
    <w:rsid w:val="006154DB"/>
    <w:rsid w:val="00627E17"/>
    <w:rsid w:val="00631CED"/>
    <w:rsid w:val="00636BF3"/>
    <w:rsid w:val="00655F5C"/>
    <w:rsid w:val="00657907"/>
    <w:rsid w:val="0066414F"/>
    <w:rsid w:val="00670031"/>
    <w:rsid w:val="00674B80"/>
    <w:rsid w:val="00675A33"/>
    <w:rsid w:val="00676336"/>
    <w:rsid w:val="00677032"/>
    <w:rsid w:val="006954AF"/>
    <w:rsid w:val="0069671B"/>
    <w:rsid w:val="006975C8"/>
    <w:rsid w:val="00697A33"/>
    <w:rsid w:val="006A65B5"/>
    <w:rsid w:val="006A70F4"/>
    <w:rsid w:val="006C7855"/>
    <w:rsid w:val="006D01AE"/>
    <w:rsid w:val="006D56E8"/>
    <w:rsid w:val="006D629F"/>
    <w:rsid w:val="006E29EB"/>
    <w:rsid w:val="006E3A3B"/>
    <w:rsid w:val="006E3F5E"/>
    <w:rsid w:val="006F0EA0"/>
    <w:rsid w:val="006F248F"/>
    <w:rsid w:val="006F420B"/>
    <w:rsid w:val="006F428C"/>
    <w:rsid w:val="006F55CF"/>
    <w:rsid w:val="006F5C91"/>
    <w:rsid w:val="00710091"/>
    <w:rsid w:val="007127A3"/>
    <w:rsid w:val="0071383E"/>
    <w:rsid w:val="00713C23"/>
    <w:rsid w:val="007161D4"/>
    <w:rsid w:val="00717F3D"/>
    <w:rsid w:val="00725A7F"/>
    <w:rsid w:val="00740E75"/>
    <w:rsid w:val="007415C8"/>
    <w:rsid w:val="00745598"/>
    <w:rsid w:val="007504D7"/>
    <w:rsid w:val="0076200B"/>
    <w:rsid w:val="00772F71"/>
    <w:rsid w:val="007773C2"/>
    <w:rsid w:val="0078092A"/>
    <w:rsid w:val="00796B68"/>
    <w:rsid w:val="007A368A"/>
    <w:rsid w:val="007B0EF1"/>
    <w:rsid w:val="007B2C45"/>
    <w:rsid w:val="007B66B1"/>
    <w:rsid w:val="007B76B8"/>
    <w:rsid w:val="007C4632"/>
    <w:rsid w:val="007C4722"/>
    <w:rsid w:val="007C49B2"/>
    <w:rsid w:val="007C6F09"/>
    <w:rsid w:val="007E1A70"/>
    <w:rsid w:val="007E7017"/>
    <w:rsid w:val="007F0CF4"/>
    <w:rsid w:val="008005A4"/>
    <w:rsid w:val="00804C31"/>
    <w:rsid w:val="00814DEC"/>
    <w:rsid w:val="0082026A"/>
    <w:rsid w:val="008231C4"/>
    <w:rsid w:val="00824E16"/>
    <w:rsid w:val="008306E6"/>
    <w:rsid w:val="0083512C"/>
    <w:rsid w:val="008445EB"/>
    <w:rsid w:val="00846A8A"/>
    <w:rsid w:val="00850802"/>
    <w:rsid w:val="00851A78"/>
    <w:rsid w:val="00855EA8"/>
    <w:rsid w:val="00857EC7"/>
    <w:rsid w:val="00860278"/>
    <w:rsid w:val="008634B2"/>
    <w:rsid w:val="0087300A"/>
    <w:rsid w:val="008810FE"/>
    <w:rsid w:val="00897455"/>
    <w:rsid w:val="008A13B5"/>
    <w:rsid w:val="008A17A7"/>
    <w:rsid w:val="008A2169"/>
    <w:rsid w:val="008A683F"/>
    <w:rsid w:val="008B08C8"/>
    <w:rsid w:val="008B2C1E"/>
    <w:rsid w:val="008B507B"/>
    <w:rsid w:val="008C03F7"/>
    <w:rsid w:val="008C5717"/>
    <w:rsid w:val="008D2618"/>
    <w:rsid w:val="008D26EF"/>
    <w:rsid w:val="008D449B"/>
    <w:rsid w:val="008E5D3C"/>
    <w:rsid w:val="009009BE"/>
    <w:rsid w:val="00903D1E"/>
    <w:rsid w:val="00905492"/>
    <w:rsid w:val="009067D2"/>
    <w:rsid w:val="00912FAA"/>
    <w:rsid w:val="00921360"/>
    <w:rsid w:val="00923ADB"/>
    <w:rsid w:val="00933360"/>
    <w:rsid w:val="00942649"/>
    <w:rsid w:val="00942BD1"/>
    <w:rsid w:val="00946C5A"/>
    <w:rsid w:val="00961A9E"/>
    <w:rsid w:val="009711F8"/>
    <w:rsid w:val="00980E46"/>
    <w:rsid w:val="00984692"/>
    <w:rsid w:val="00985583"/>
    <w:rsid w:val="00985FCA"/>
    <w:rsid w:val="00991F87"/>
    <w:rsid w:val="00993485"/>
    <w:rsid w:val="009A3A83"/>
    <w:rsid w:val="009B30D2"/>
    <w:rsid w:val="009B4E6E"/>
    <w:rsid w:val="009C1CA0"/>
    <w:rsid w:val="009C44AA"/>
    <w:rsid w:val="009E2679"/>
    <w:rsid w:val="009E3136"/>
    <w:rsid w:val="009E6CD1"/>
    <w:rsid w:val="009F00BD"/>
    <w:rsid w:val="009F3F5E"/>
    <w:rsid w:val="00A0037B"/>
    <w:rsid w:val="00A04E17"/>
    <w:rsid w:val="00A073CA"/>
    <w:rsid w:val="00A10AD6"/>
    <w:rsid w:val="00A10B1E"/>
    <w:rsid w:val="00A13A4B"/>
    <w:rsid w:val="00A177F8"/>
    <w:rsid w:val="00A228B5"/>
    <w:rsid w:val="00A249E4"/>
    <w:rsid w:val="00A30299"/>
    <w:rsid w:val="00A4186D"/>
    <w:rsid w:val="00A430CD"/>
    <w:rsid w:val="00A459F4"/>
    <w:rsid w:val="00A51FD5"/>
    <w:rsid w:val="00A542CA"/>
    <w:rsid w:val="00A57896"/>
    <w:rsid w:val="00A80C69"/>
    <w:rsid w:val="00A811FD"/>
    <w:rsid w:val="00A93CDA"/>
    <w:rsid w:val="00A95AFD"/>
    <w:rsid w:val="00A960E9"/>
    <w:rsid w:val="00A96160"/>
    <w:rsid w:val="00AA2605"/>
    <w:rsid w:val="00AA51D3"/>
    <w:rsid w:val="00AB1C64"/>
    <w:rsid w:val="00AD315F"/>
    <w:rsid w:val="00AD47C4"/>
    <w:rsid w:val="00AE079F"/>
    <w:rsid w:val="00AE29BF"/>
    <w:rsid w:val="00AF5156"/>
    <w:rsid w:val="00AF6B9F"/>
    <w:rsid w:val="00B01FB3"/>
    <w:rsid w:val="00B155A6"/>
    <w:rsid w:val="00B207B8"/>
    <w:rsid w:val="00B24ECF"/>
    <w:rsid w:val="00B34673"/>
    <w:rsid w:val="00B40779"/>
    <w:rsid w:val="00B42DC8"/>
    <w:rsid w:val="00B44A40"/>
    <w:rsid w:val="00B44CF1"/>
    <w:rsid w:val="00B4537B"/>
    <w:rsid w:val="00B459A6"/>
    <w:rsid w:val="00B459F5"/>
    <w:rsid w:val="00B46822"/>
    <w:rsid w:val="00B500BB"/>
    <w:rsid w:val="00B63930"/>
    <w:rsid w:val="00B75E2E"/>
    <w:rsid w:val="00B806D3"/>
    <w:rsid w:val="00B8260A"/>
    <w:rsid w:val="00B8646C"/>
    <w:rsid w:val="00BA06DB"/>
    <w:rsid w:val="00BA0C18"/>
    <w:rsid w:val="00BA6AF7"/>
    <w:rsid w:val="00BC00D5"/>
    <w:rsid w:val="00BC2E8F"/>
    <w:rsid w:val="00BD278B"/>
    <w:rsid w:val="00BD7B5C"/>
    <w:rsid w:val="00BE21AD"/>
    <w:rsid w:val="00BF1362"/>
    <w:rsid w:val="00BF20FE"/>
    <w:rsid w:val="00BF3008"/>
    <w:rsid w:val="00BF6F5D"/>
    <w:rsid w:val="00BF79EB"/>
    <w:rsid w:val="00C01F8A"/>
    <w:rsid w:val="00C0484A"/>
    <w:rsid w:val="00C06287"/>
    <w:rsid w:val="00C10519"/>
    <w:rsid w:val="00C403E8"/>
    <w:rsid w:val="00C42299"/>
    <w:rsid w:val="00C52922"/>
    <w:rsid w:val="00C616F4"/>
    <w:rsid w:val="00C635B0"/>
    <w:rsid w:val="00C6783F"/>
    <w:rsid w:val="00C711F0"/>
    <w:rsid w:val="00C75EE6"/>
    <w:rsid w:val="00C96D02"/>
    <w:rsid w:val="00CA0502"/>
    <w:rsid w:val="00CB195B"/>
    <w:rsid w:val="00CB414A"/>
    <w:rsid w:val="00CB55AD"/>
    <w:rsid w:val="00CC1A97"/>
    <w:rsid w:val="00CD5023"/>
    <w:rsid w:val="00CE0B3C"/>
    <w:rsid w:val="00CF2C18"/>
    <w:rsid w:val="00CF2C40"/>
    <w:rsid w:val="00D10211"/>
    <w:rsid w:val="00D124F7"/>
    <w:rsid w:val="00D1344A"/>
    <w:rsid w:val="00D14C77"/>
    <w:rsid w:val="00D15E27"/>
    <w:rsid w:val="00D3612E"/>
    <w:rsid w:val="00D36B40"/>
    <w:rsid w:val="00D51137"/>
    <w:rsid w:val="00D52CC2"/>
    <w:rsid w:val="00D5329D"/>
    <w:rsid w:val="00D5704F"/>
    <w:rsid w:val="00D61933"/>
    <w:rsid w:val="00D63396"/>
    <w:rsid w:val="00D71946"/>
    <w:rsid w:val="00D81452"/>
    <w:rsid w:val="00D84DCF"/>
    <w:rsid w:val="00D87FFD"/>
    <w:rsid w:val="00DA0649"/>
    <w:rsid w:val="00DA5C90"/>
    <w:rsid w:val="00DC0056"/>
    <w:rsid w:val="00DC1549"/>
    <w:rsid w:val="00DD3443"/>
    <w:rsid w:val="00DE213D"/>
    <w:rsid w:val="00DF3BC4"/>
    <w:rsid w:val="00E033C7"/>
    <w:rsid w:val="00E1358E"/>
    <w:rsid w:val="00E16DA5"/>
    <w:rsid w:val="00E210B1"/>
    <w:rsid w:val="00E31566"/>
    <w:rsid w:val="00E3258F"/>
    <w:rsid w:val="00E371AD"/>
    <w:rsid w:val="00E437B9"/>
    <w:rsid w:val="00E4433F"/>
    <w:rsid w:val="00E453F7"/>
    <w:rsid w:val="00E45D28"/>
    <w:rsid w:val="00E50430"/>
    <w:rsid w:val="00E66B9E"/>
    <w:rsid w:val="00E70753"/>
    <w:rsid w:val="00E7184F"/>
    <w:rsid w:val="00E76ED1"/>
    <w:rsid w:val="00E857DF"/>
    <w:rsid w:val="00E87F99"/>
    <w:rsid w:val="00E92238"/>
    <w:rsid w:val="00EA2706"/>
    <w:rsid w:val="00EA4059"/>
    <w:rsid w:val="00EB5A9F"/>
    <w:rsid w:val="00EB7BC3"/>
    <w:rsid w:val="00EC5F11"/>
    <w:rsid w:val="00EE356E"/>
    <w:rsid w:val="00EF04A3"/>
    <w:rsid w:val="00EF0C3C"/>
    <w:rsid w:val="00EF5B92"/>
    <w:rsid w:val="00F0686E"/>
    <w:rsid w:val="00F11BA2"/>
    <w:rsid w:val="00F1326B"/>
    <w:rsid w:val="00F1612C"/>
    <w:rsid w:val="00F205C0"/>
    <w:rsid w:val="00F22EAC"/>
    <w:rsid w:val="00F261F1"/>
    <w:rsid w:val="00F2734E"/>
    <w:rsid w:val="00F27C02"/>
    <w:rsid w:val="00F31983"/>
    <w:rsid w:val="00F32971"/>
    <w:rsid w:val="00F37D5D"/>
    <w:rsid w:val="00F4298C"/>
    <w:rsid w:val="00F42E14"/>
    <w:rsid w:val="00F52968"/>
    <w:rsid w:val="00F6050A"/>
    <w:rsid w:val="00F61206"/>
    <w:rsid w:val="00F727F7"/>
    <w:rsid w:val="00F77025"/>
    <w:rsid w:val="00F807D5"/>
    <w:rsid w:val="00F8526B"/>
    <w:rsid w:val="00F9054B"/>
    <w:rsid w:val="00F91663"/>
    <w:rsid w:val="00F97231"/>
    <w:rsid w:val="00F97853"/>
    <w:rsid w:val="00FA0568"/>
    <w:rsid w:val="00FA662B"/>
    <w:rsid w:val="00FB2B4A"/>
    <w:rsid w:val="00FB3065"/>
    <w:rsid w:val="00FB309F"/>
    <w:rsid w:val="00FC43C8"/>
    <w:rsid w:val="00FD27EF"/>
    <w:rsid w:val="00FD6302"/>
    <w:rsid w:val="00FE6659"/>
    <w:rsid w:val="00FE6C0A"/>
    <w:rsid w:val="00FF255D"/>
    <w:rsid w:val="00FF6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AACD1D"/>
  <w15:chartTrackingRefBased/>
  <w15:docId w15:val="{3880837D-038A-4F2E-A94A-4340E490E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BF3"/>
    <w:pPr>
      <w:spacing w:after="0" w:line="240" w:lineRule="auto"/>
    </w:pPr>
    <w:rPr>
      <w:rFonts w:ascii="Arial" w:eastAsia="Times New Roman" w:hAnsi="Arial" w:cs="Times New Roman"/>
      <w:sz w:val="24"/>
      <w:szCs w:val="20"/>
    </w:rPr>
  </w:style>
  <w:style w:type="paragraph" w:styleId="Heading6">
    <w:name w:val="heading 6"/>
    <w:basedOn w:val="Normal"/>
    <w:next w:val="Normal"/>
    <w:link w:val="Heading6Char"/>
    <w:qFormat/>
    <w:rsid w:val="00636BF3"/>
    <w:pPr>
      <w:keepNext/>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jc w:val="both"/>
      <w:outlineLvl w:val="5"/>
    </w:pPr>
    <w:rPr>
      <w:rFonts w:ascii="Garmond" w:hAnsi="Garmond"/>
      <w:i/>
      <w:spacing w:val="-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636BF3"/>
    <w:rPr>
      <w:rFonts w:ascii="Garmond" w:eastAsia="Times New Roman" w:hAnsi="Garmond" w:cs="Times New Roman"/>
      <w:i/>
      <w:spacing w:val="-3"/>
      <w:sz w:val="24"/>
      <w:szCs w:val="20"/>
      <w:u w:val="single"/>
    </w:rPr>
  </w:style>
  <w:style w:type="paragraph" w:styleId="BodyTextIndent2">
    <w:name w:val="Body Text Indent 2"/>
    <w:basedOn w:val="Normal"/>
    <w:link w:val="BodyTextIndent2Char"/>
    <w:semiHidden/>
    <w:rsid w:val="00636BF3"/>
    <w:pPr>
      <w:tabs>
        <w:tab w:val="left" w:pos="0"/>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360"/>
      </w:tabs>
      <w:suppressAutoHyphens/>
      <w:ind w:left="1296" w:hanging="1296"/>
      <w:jc w:val="both"/>
    </w:pPr>
    <w:rPr>
      <w:rFonts w:ascii="Garmond" w:hAnsi="Garmond"/>
      <w:spacing w:val="-3"/>
    </w:rPr>
  </w:style>
  <w:style w:type="character" w:customStyle="1" w:styleId="BodyTextIndent2Char">
    <w:name w:val="Body Text Indent 2 Char"/>
    <w:basedOn w:val="DefaultParagraphFont"/>
    <w:link w:val="BodyTextIndent2"/>
    <w:semiHidden/>
    <w:rsid w:val="00636BF3"/>
    <w:rPr>
      <w:rFonts w:ascii="Garmond" w:eastAsia="Times New Roman" w:hAnsi="Garmond" w:cs="Times New Roman"/>
      <w:spacing w:val="-3"/>
      <w:sz w:val="24"/>
      <w:szCs w:val="20"/>
    </w:rPr>
  </w:style>
  <w:style w:type="paragraph" w:styleId="ListParagraph">
    <w:name w:val="List Paragraph"/>
    <w:basedOn w:val="Normal"/>
    <w:uiPriority w:val="34"/>
    <w:qFormat/>
    <w:rsid w:val="005C01A9"/>
    <w:pPr>
      <w:ind w:left="720"/>
      <w:contextualSpacing/>
    </w:pPr>
  </w:style>
  <w:style w:type="paragraph" w:customStyle="1" w:styleId="Default">
    <w:name w:val="Default"/>
    <w:rsid w:val="00E92238"/>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D5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30299"/>
    <w:pPr>
      <w:spacing w:after="0" w:line="240" w:lineRule="auto"/>
    </w:pPr>
    <w:rPr>
      <w:rFonts w:ascii="Arial" w:eastAsia="Times New Roman" w:hAnsi="Arial" w:cs="Times New Roman"/>
      <w:sz w:val="24"/>
      <w:szCs w:val="20"/>
    </w:rPr>
  </w:style>
  <w:style w:type="character" w:styleId="CommentReference">
    <w:name w:val="annotation reference"/>
    <w:basedOn w:val="DefaultParagraphFont"/>
    <w:uiPriority w:val="99"/>
    <w:semiHidden/>
    <w:unhideWhenUsed/>
    <w:rsid w:val="00855EA8"/>
    <w:rPr>
      <w:sz w:val="16"/>
      <w:szCs w:val="16"/>
    </w:rPr>
  </w:style>
  <w:style w:type="paragraph" w:styleId="CommentText">
    <w:name w:val="annotation text"/>
    <w:basedOn w:val="Normal"/>
    <w:link w:val="CommentTextChar"/>
    <w:uiPriority w:val="99"/>
    <w:unhideWhenUsed/>
    <w:rsid w:val="00855EA8"/>
    <w:rPr>
      <w:sz w:val="20"/>
    </w:rPr>
  </w:style>
  <w:style w:type="character" w:customStyle="1" w:styleId="CommentTextChar">
    <w:name w:val="Comment Text Char"/>
    <w:basedOn w:val="DefaultParagraphFont"/>
    <w:link w:val="CommentText"/>
    <w:uiPriority w:val="99"/>
    <w:rsid w:val="00855EA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55EA8"/>
    <w:rPr>
      <w:b/>
      <w:bCs/>
    </w:rPr>
  </w:style>
  <w:style w:type="character" w:customStyle="1" w:styleId="CommentSubjectChar">
    <w:name w:val="Comment Subject Char"/>
    <w:basedOn w:val="CommentTextChar"/>
    <w:link w:val="CommentSubject"/>
    <w:uiPriority w:val="99"/>
    <w:semiHidden/>
    <w:rsid w:val="00855EA8"/>
    <w:rPr>
      <w:rFonts w:ascii="Arial" w:eastAsia="Times New Roman" w:hAnsi="Arial" w:cs="Times New Roman"/>
      <w:b/>
      <w:bCs/>
      <w:sz w:val="20"/>
      <w:szCs w:val="20"/>
    </w:rPr>
  </w:style>
  <w:style w:type="paragraph" w:styleId="Header">
    <w:name w:val="header"/>
    <w:basedOn w:val="Normal"/>
    <w:link w:val="HeaderChar"/>
    <w:uiPriority w:val="99"/>
    <w:unhideWhenUsed/>
    <w:rsid w:val="00276963"/>
    <w:pPr>
      <w:tabs>
        <w:tab w:val="center" w:pos="4680"/>
        <w:tab w:val="right" w:pos="9360"/>
      </w:tabs>
    </w:pPr>
  </w:style>
  <w:style w:type="character" w:customStyle="1" w:styleId="HeaderChar">
    <w:name w:val="Header Char"/>
    <w:basedOn w:val="DefaultParagraphFont"/>
    <w:link w:val="Header"/>
    <w:uiPriority w:val="99"/>
    <w:rsid w:val="00276963"/>
    <w:rPr>
      <w:rFonts w:ascii="Arial" w:eastAsia="Times New Roman" w:hAnsi="Arial" w:cs="Times New Roman"/>
      <w:sz w:val="24"/>
      <w:szCs w:val="20"/>
    </w:rPr>
  </w:style>
  <w:style w:type="paragraph" w:styleId="Footer">
    <w:name w:val="footer"/>
    <w:basedOn w:val="Normal"/>
    <w:link w:val="FooterChar"/>
    <w:uiPriority w:val="99"/>
    <w:unhideWhenUsed/>
    <w:rsid w:val="00276963"/>
    <w:pPr>
      <w:tabs>
        <w:tab w:val="center" w:pos="4680"/>
        <w:tab w:val="right" w:pos="9360"/>
      </w:tabs>
    </w:pPr>
  </w:style>
  <w:style w:type="character" w:customStyle="1" w:styleId="FooterChar">
    <w:name w:val="Footer Char"/>
    <w:basedOn w:val="DefaultParagraphFont"/>
    <w:link w:val="Footer"/>
    <w:uiPriority w:val="99"/>
    <w:rsid w:val="00276963"/>
    <w:rPr>
      <w:rFonts w:ascii="Arial" w:eastAsia="Times New Roman" w:hAnsi="Arial" w:cs="Times New Roman"/>
      <w:sz w:val="24"/>
      <w:szCs w:val="20"/>
    </w:rPr>
  </w:style>
  <w:style w:type="paragraph" w:styleId="FootnoteText">
    <w:name w:val="footnote text"/>
    <w:basedOn w:val="Normal"/>
    <w:link w:val="FootnoteTextChar"/>
    <w:uiPriority w:val="99"/>
    <w:semiHidden/>
    <w:unhideWhenUsed/>
    <w:rsid w:val="00F97231"/>
    <w:rPr>
      <w:sz w:val="20"/>
    </w:rPr>
  </w:style>
  <w:style w:type="character" w:customStyle="1" w:styleId="FootnoteTextChar">
    <w:name w:val="Footnote Text Char"/>
    <w:basedOn w:val="DefaultParagraphFont"/>
    <w:link w:val="FootnoteText"/>
    <w:uiPriority w:val="99"/>
    <w:semiHidden/>
    <w:rsid w:val="00F97231"/>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F972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958562">
      <w:bodyDiv w:val="1"/>
      <w:marLeft w:val="0"/>
      <w:marRight w:val="0"/>
      <w:marTop w:val="0"/>
      <w:marBottom w:val="0"/>
      <w:divBdr>
        <w:top w:val="none" w:sz="0" w:space="0" w:color="auto"/>
        <w:left w:val="none" w:sz="0" w:space="0" w:color="auto"/>
        <w:bottom w:val="none" w:sz="0" w:space="0" w:color="auto"/>
        <w:right w:val="none" w:sz="0" w:space="0" w:color="auto"/>
      </w:divBdr>
    </w:div>
    <w:div w:id="202062910">
      <w:bodyDiv w:val="1"/>
      <w:marLeft w:val="0"/>
      <w:marRight w:val="0"/>
      <w:marTop w:val="0"/>
      <w:marBottom w:val="0"/>
      <w:divBdr>
        <w:top w:val="none" w:sz="0" w:space="0" w:color="auto"/>
        <w:left w:val="none" w:sz="0" w:space="0" w:color="auto"/>
        <w:bottom w:val="none" w:sz="0" w:space="0" w:color="auto"/>
        <w:right w:val="none" w:sz="0" w:space="0" w:color="auto"/>
      </w:divBdr>
    </w:div>
    <w:div w:id="538707617">
      <w:bodyDiv w:val="1"/>
      <w:marLeft w:val="0"/>
      <w:marRight w:val="0"/>
      <w:marTop w:val="0"/>
      <w:marBottom w:val="0"/>
      <w:divBdr>
        <w:top w:val="none" w:sz="0" w:space="0" w:color="auto"/>
        <w:left w:val="none" w:sz="0" w:space="0" w:color="auto"/>
        <w:bottom w:val="none" w:sz="0" w:space="0" w:color="auto"/>
        <w:right w:val="none" w:sz="0" w:space="0" w:color="auto"/>
      </w:divBdr>
    </w:div>
    <w:div w:id="722296019">
      <w:bodyDiv w:val="1"/>
      <w:marLeft w:val="0"/>
      <w:marRight w:val="0"/>
      <w:marTop w:val="0"/>
      <w:marBottom w:val="0"/>
      <w:divBdr>
        <w:top w:val="none" w:sz="0" w:space="0" w:color="auto"/>
        <w:left w:val="none" w:sz="0" w:space="0" w:color="auto"/>
        <w:bottom w:val="none" w:sz="0" w:space="0" w:color="auto"/>
        <w:right w:val="none" w:sz="0" w:space="0" w:color="auto"/>
      </w:divBdr>
    </w:div>
    <w:div w:id="1323243341">
      <w:bodyDiv w:val="1"/>
      <w:marLeft w:val="0"/>
      <w:marRight w:val="0"/>
      <w:marTop w:val="0"/>
      <w:marBottom w:val="0"/>
      <w:divBdr>
        <w:top w:val="none" w:sz="0" w:space="0" w:color="auto"/>
        <w:left w:val="none" w:sz="0" w:space="0" w:color="auto"/>
        <w:bottom w:val="none" w:sz="0" w:space="0" w:color="auto"/>
        <w:right w:val="none" w:sz="0" w:space="0" w:color="auto"/>
      </w:divBdr>
    </w:div>
    <w:div w:id="157150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5673F-5BF7-4F5D-8211-EF57B5199910}">
  <ds:schemaRefs>
    <ds:schemaRef ds:uri="http://schemas.microsoft.com/sharepoint/v3/contenttype/forms"/>
  </ds:schemaRefs>
</ds:datastoreItem>
</file>

<file path=customXml/itemProps2.xml><?xml version="1.0" encoding="utf-8"?>
<ds:datastoreItem xmlns:ds="http://schemas.openxmlformats.org/officeDocument/2006/customXml" ds:itemID="{1F6F586B-527F-4288-808A-79DE12F1C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78BC8-7E5A-49EE-AB5C-4E5467C4B340}">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customXml/itemProps4.xml><?xml version="1.0" encoding="utf-8"?>
<ds:datastoreItem xmlns:ds="http://schemas.openxmlformats.org/officeDocument/2006/customXml" ds:itemID="{EFD0D428-7E5A-4FCA-844A-879CC20FC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3691</Words>
  <Characters>20744</Characters>
  <Application>Microsoft Office Word</Application>
  <DocSecurity>0</DocSecurity>
  <Lines>351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 Michael</dc:creator>
  <cp:keywords/>
  <dc:description/>
  <cp:lastModifiedBy>Gann, Julie</cp:lastModifiedBy>
  <cp:revision>6</cp:revision>
  <dcterms:created xsi:type="dcterms:W3CDTF">2024-06-19T12:42:00Z</dcterms:created>
  <dcterms:modified xsi:type="dcterms:W3CDTF">2025-07-28T14:36:00Z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ProgressStatus">
    <vt:lpwstr>Not Started</vt:lpwstr>
  </property>
  <property fmtid="{D5CDD505-2E9C-101B-9397-08002B2CF9AE}" pid="4" name="MediaServiceImageTags">
    <vt:lpwstr/>
  </property>
  <property fmtid="{D5CDD505-2E9C-101B-9397-08002B2CF9AE}" pid="5" name="Test">
    <vt:filetime>2025-03-24T05:00:00Z</vt:filetime>
  </property>
</Properties>
</file>